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98C4" w14:textId="5558F6BC" w:rsidR="00AE206D" w:rsidRDefault="00AE206D" w:rsidP="006A47DD">
      <w:pPr>
        <w:widowControl w:val="0"/>
        <w:spacing w:after="0"/>
        <w:jc w:val="center"/>
        <w:rPr>
          <w:b/>
        </w:rPr>
      </w:pPr>
      <w:r>
        <w:fldChar w:fldCharType="begin"/>
      </w:r>
      <w:r>
        <w:instrText xml:space="preserve"> SEQ CHAPTER \h \r 1</w:instrText>
      </w:r>
      <w:r>
        <w:fldChar w:fldCharType="end"/>
      </w:r>
      <w:r>
        <w:rPr>
          <w:b/>
        </w:rPr>
        <w:t>MAN</w:t>
      </w:r>
      <w:r w:rsidR="00282A37">
        <w:rPr>
          <w:b/>
        </w:rPr>
        <w:t>AGING HERBICIDE-RESISTANT WEEDS</w:t>
      </w:r>
    </w:p>
    <w:p w14:paraId="326696A8" w14:textId="77777777" w:rsidR="00C36BF1" w:rsidRDefault="00C36BF1" w:rsidP="006A47DD">
      <w:pPr>
        <w:widowControl w:val="0"/>
        <w:spacing w:after="0"/>
        <w:jc w:val="center"/>
        <w:rPr>
          <w:b/>
        </w:rPr>
      </w:pPr>
    </w:p>
    <w:p w14:paraId="24AE83D3" w14:textId="77777777" w:rsidR="00C36BF1" w:rsidRDefault="00C36BF1" w:rsidP="0048382F">
      <w:pPr>
        <w:widowControl w:val="0"/>
        <w:spacing w:after="0"/>
        <w:rPr>
          <w:b/>
        </w:rPr>
        <w:sectPr w:rsidR="00C36BF1" w:rsidSect="00C36BF1">
          <w:headerReference w:type="default" r:id="rId8"/>
          <w:footerReference w:type="default" r:id="rId9"/>
          <w:pgSz w:w="12240" w:h="15840"/>
          <w:pgMar w:top="2880" w:right="1080" w:bottom="1080" w:left="1080" w:header="216" w:footer="720" w:gutter="0"/>
          <w:cols w:space="360"/>
        </w:sectPr>
      </w:pPr>
    </w:p>
    <w:p w14:paraId="707AB87E" w14:textId="1401C9C3" w:rsidR="00AE206D" w:rsidRDefault="00AE206D" w:rsidP="00AE206D">
      <w:pPr>
        <w:widowControl w:val="0"/>
      </w:pPr>
      <w:r>
        <w:t>Modern agriculture, especially in the U</w:t>
      </w:r>
      <w:r w:rsidR="00535EB1">
        <w:t>.</w:t>
      </w:r>
      <w:r>
        <w:t>S</w:t>
      </w:r>
      <w:r w:rsidR="00535EB1">
        <w:t>.</w:t>
      </w:r>
      <w:r>
        <w:t>, has increasingly relied on herbicides to control or manage weeds in crops.  Repeated use of a particular herbicide will expose a target</w:t>
      </w:r>
      <w:r w:rsidR="00F45353">
        <w:t>ed</w:t>
      </w:r>
      <w:r>
        <w:t xml:space="preserve"> weed to selection pressure that can result in biotypes</w:t>
      </w:r>
      <w:r w:rsidR="0048382F">
        <w:t xml:space="preserve"> of </w:t>
      </w:r>
      <w:r w:rsidR="00F45353">
        <w:t xml:space="preserve">that </w:t>
      </w:r>
      <w:r w:rsidR="0048382F">
        <w:t>weed species</w:t>
      </w:r>
      <w:r>
        <w:t xml:space="preserve"> that are resistant to the herbicide that would, under normal use conditions, effectivel</w:t>
      </w:r>
      <w:r w:rsidR="00282A37">
        <w:t xml:space="preserve">y control </w:t>
      </w:r>
      <w:r w:rsidR="00F45353">
        <w:t>it.</w:t>
      </w:r>
    </w:p>
    <w:p w14:paraId="6DAACD86" w14:textId="03D84F0A" w:rsidR="00251936" w:rsidRDefault="00AE206D" w:rsidP="00AE206D">
      <w:pPr>
        <w:widowControl w:val="0"/>
      </w:pPr>
      <w:r>
        <w:t>U</w:t>
      </w:r>
      <w:r w:rsidR="00535EB1">
        <w:t>.</w:t>
      </w:r>
      <w:r>
        <w:t>S</w:t>
      </w:r>
      <w:r w:rsidR="00535EB1">
        <w:t>.</w:t>
      </w:r>
      <w:r>
        <w:t xml:space="preserve"> soybean growers are </w:t>
      </w:r>
      <w:r w:rsidR="000A3ABB">
        <w:t xml:space="preserve">constantly </w:t>
      </w:r>
      <w:r>
        <w:t xml:space="preserve">dealing with herbicide-resistant </w:t>
      </w:r>
      <w:r w:rsidR="00535EB1">
        <w:t>[</w:t>
      </w:r>
      <w:r>
        <w:t>HR</w:t>
      </w:r>
      <w:r w:rsidR="00535EB1">
        <w:t>]</w:t>
      </w:r>
      <w:r>
        <w:t xml:space="preserve"> weeds.  </w:t>
      </w:r>
      <w:r w:rsidR="00251936">
        <w:t xml:space="preserve">In the recent past, growers had only to be concerned with glyphosate-resistant </w:t>
      </w:r>
      <w:r w:rsidR="00535EB1">
        <w:t>[</w:t>
      </w:r>
      <w:r w:rsidR="00251936">
        <w:t>GR</w:t>
      </w:r>
      <w:r w:rsidR="00535EB1">
        <w:t>]</w:t>
      </w:r>
      <w:r w:rsidR="00251936">
        <w:t xml:space="preserve"> weeds.  </w:t>
      </w:r>
      <w:r w:rsidR="000A3ABB">
        <w:t>Now, however,</w:t>
      </w:r>
      <w:r w:rsidR="00251936">
        <w:t xml:space="preserve"> they must contend with weeds that are resistant to herbicides from other groups as well.</w:t>
      </w:r>
      <w:r w:rsidR="00F34F05" w:rsidRPr="00F34F05">
        <w:t xml:space="preserve"> </w:t>
      </w:r>
      <w:r w:rsidR="00F34F05">
        <w:t xml:space="preserve"> This is a major problem </w:t>
      </w:r>
      <w:r w:rsidR="008177F7">
        <w:t>that</w:t>
      </w:r>
      <w:r w:rsidR="00F34F05">
        <w:t xml:space="preserve"> threatens the production of a profitable crop.</w:t>
      </w:r>
    </w:p>
    <w:p w14:paraId="64C151FD" w14:textId="1C5CF073" w:rsidR="0021284F" w:rsidRDefault="000A3ABB" w:rsidP="00AE206D">
      <w:pPr>
        <w:widowControl w:val="0"/>
      </w:pPr>
      <w:r>
        <w:t xml:space="preserve">As of </w:t>
      </w:r>
      <w:r w:rsidR="00237A4A">
        <w:t>J</w:t>
      </w:r>
      <w:r w:rsidR="00BE6172">
        <w:t>an. 2025</w:t>
      </w:r>
      <w:r>
        <w:t>, there were</w:t>
      </w:r>
      <w:r w:rsidR="00AE206D">
        <w:t xml:space="preserve"> </w:t>
      </w:r>
      <w:r w:rsidR="001A763C">
        <w:t>2</w:t>
      </w:r>
      <w:r w:rsidR="00BE6172">
        <w:t>7</w:t>
      </w:r>
      <w:r w:rsidR="00237A4A">
        <w:t>3</w:t>
      </w:r>
      <w:r w:rsidR="00AE206D">
        <w:t xml:space="preserve"> species of </w:t>
      </w:r>
      <w:r w:rsidR="001A763C">
        <w:t xml:space="preserve">HR </w:t>
      </w:r>
      <w:r w:rsidR="00AE206D">
        <w:t xml:space="preserve">weeds in </w:t>
      </w:r>
      <w:r w:rsidR="00E61519">
        <w:t>the</w:t>
      </w:r>
      <w:r w:rsidR="00AE206D">
        <w:t xml:space="preserve"> </w:t>
      </w:r>
      <w:r w:rsidR="001A763C">
        <w:t>world</w:t>
      </w:r>
      <w:r w:rsidR="0071467A">
        <w:t xml:space="preserve">. </w:t>
      </w:r>
      <w:r w:rsidR="001A763C">
        <w:t xml:space="preserve"> </w:t>
      </w:r>
      <w:r w:rsidR="0071467A">
        <w:t>N</w:t>
      </w:r>
      <w:r w:rsidR="00615F2F">
        <w:t>umber of HR weed species by crop was 6</w:t>
      </w:r>
      <w:r w:rsidR="00106796">
        <w:t>6</w:t>
      </w:r>
      <w:r w:rsidR="00615F2F">
        <w:t xml:space="preserve"> and </w:t>
      </w:r>
      <w:r w:rsidR="00106796">
        <w:t>53</w:t>
      </w:r>
      <w:r w:rsidR="00615F2F">
        <w:t xml:space="preserve"> for corn and soybean</w:t>
      </w:r>
      <w:r w:rsidR="008177F7">
        <w:t>s</w:t>
      </w:r>
      <w:r w:rsidR="00615F2F">
        <w:t>, respectively</w:t>
      </w:r>
      <w:r w:rsidR="00106796">
        <w:t>.</w:t>
      </w:r>
      <w:r w:rsidR="0071467A">
        <w:t xml:space="preserve">  </w:t>
      </w:r>
      <w:r w:rsidR="00106796">
        <w:t>60</w:t>
      </w:r>
      <w:r w:rsidR="00615F2F">
        <w:t xml:space="preserve"> weed species</w:t>
      </w:r>
      <w:r w:rsidR="0071467A">
        <w:t xml:space="preserve"> were</w:t>
      </w:r>
      <w:r w:rsidR="00615F2F">
        <w:t xml:space="preserve"> resistant to glyphosate</w:t>
      </w:r>
      <w:r w:rsidR="0071467A">
        <w:t xml:space="preserve"> [</w:t>
      </w:r>
      <w:hyperlink r:id="rId10" w:history="1">
        <w:r w:rsidR="0071467A" w:rsidRPr="001A763C">
          <w:rPr>
            <w:rStyle w:val="Hyperlink"/>
            <w:rFonts w:ascii="Cambria" w:hAnsi="Cambria"/>
          </w:rPr>
          <w:t>I</w:t>
        </w:r>
        <w:r w:rsidR="0071467A">
          <w:rPr>
            <w:rStyle w:val="Hyperlink"/>
            <w:rFonts w:ascii="Cambria" w:hAnsi="Cambria"/>
          </w:rPr>
          <w:t>. Heap, I</w:t>
        </w:r>
        <w:r w:rsidR="0071467A" w:rsidRPr="001A763C">
          <w:rPr>
            <w:rStyle w:val="Hyperlink"/>
            <w:rFonts w:ascii="Cambria" w:hAnsi="Cambria"/>
          </w:rPr>
          <w:t>ntl. HR Weed Database</w:t>
        </w:r>
      </w:hyperlink>
      <w:r w:rsidR="0071467A">
        <w:t>].</w:t>
      </w:r>
    </w:p>
    <w:p w14:paraId="43982B26" w14:textId="40ED2A8B" w:rsidR="0071467A" w:rsidRDefault="0071467A" w:rsidP="00AE206D">
      <w:pPr>
        <w:widowControl w:val="0"/>
      </w:pPr>
      <w:r>
        <w:t xml:space="preserve">Weeds have evolved resistance to 21 of the 31 known </w:t>
      </w:r>
      <w:r w:rsidR="00F45353">
        <w:t xml:space="preserve">herbicide </w:t>
      </w:r>
      <w:r>
        <w:t xml:space="preserve">sites of action and to 168 different herbicides.  </w:t>
      </w:r>
      <w:r w:rsidR="00F45353">
        <w:t xml:space="preserve">Many of the more problematic weeds such as Palmer amaranth have evolved resistance to multiple herbicide sites of action.  </w:t>
      </w:r>
      <w:r w:rsidR="00106796">
        <w:t xml:space="preserve">Click </w:t>
      </w:r>
      <w:hyperlink r:id="rId11" w:history="1">
        <w:r w:rsidR="00106796" w:rsidRPr="00251936">
          <w:rPr>
            <w:rStyle w:val="Hyperlink"/>
            <w:rFonts w:ascii="Cambria" w:hAnsi="Cambria"/>
          </w:rPr>
          <w:t>here</w:t>
        </w:r>
      </w:hyperlink>
      <w:r w:rsidR="00106796">
        <w:t xml:space="preserve"> for Site-of-Action categories based on both the Herbicide Resistance Action Committee [</w:t>
      </w:r>
      <w:hyperlink r:id="rId12" w:history="1">
        <w:r w:rsidR="00106796" w:rsidRPr="008177F7">
          <w:rPr>
            <w:rStyle w:val="Hyperlink"/>
            <w:rFonts w:ascii="Cambria" w:hAnsi="Cambria"/>
          </w:rPr>
          <w:t>HRAC</w:t>
        </w:r>
      </w:hyperlink>
      <w:r w:rsidR="00106796">
        <w:t>] and Weed Science Society of America [</w:t>
      </w:r>
      <w:hyperlink r:id="rId13" w:history="1">
        <w:r w:rsidR="00106796" w:rsidRPr="008177F7">
          <w:rPr>
            <w:rStyle w:val="Hyperlink"/>
            <w:rFonts w:ascii="Cambria" w:hAnsi="Cambria"/>
          </w:rPr>
          <w:t>WSSA</w:t>
        </w:r>
      </w:hyperlink>
      <w:r w:rsidR="00106796">
        <w:t>] classification systems</w:t>
      </w:r>
      <w:r w:rsidR="00CD71FC">
        <w:t>.</w:t>
      </w:r>
      <w:r w:rsidR="00F45353">
        <w:t xml:space="preserve">  </w:t>
      </w:r>
    </w:p>
    <w:p w14:paraId="0518A408" w14:textId="000C8DD8" w:rsidR="00AA2655" w:rsidRDefault="00AE206D" w:rsidP="00AA2655">
      <w:pPr>
        <w:widowControl w:val="0"/>
      </w:pPr>
      <w:r>
        <w:t>The following is a summar</w:t>
      </w:r>
      <w:r w:rsidR="008177F7">
        <w:t>y</w:t>
      </w:r>
      <w:r>
        <w:t xml:space="preserve"> of best management practices </w:t>
      </w:r>
      <w:r w:rsidR="0071467A">
        <w:t>[</w:t>
      </w:r>
      <w:r>
        <w:t>BMP’s</w:t>
      </w:r>
      <w:r w:rsidR="0071467A">
        <w:t>]</w:t>
      </w:r>
      <w:r>
        <w:t xml:space="preserve"> for HR weeds that are presented in articles </w:t>
      </w:r>
      <w:r w:rsidR="00AA2655">
        <w:t>by</w:t>
      </w:r>
      <w:r w:rsidR="00A11270">
        <w:t xml:space="preserve"> the </w:t>
      </w:r>
      <w:r w:rsidR="00AA2655" w:rsidRPr="00253873">
        <w:t>HRAC</w:t>
      </w:r>
      <w:r w:rsidR="00AA2655">
        <w:t xml:space="preserve"> a</w:t>
      </w:r>
      <w:r>
        <w:t xml:space="preserve">nd </w:t>
      </w:r>
      <w:r w:rsidR="00AA2655">
        <w:t>the</w:t>
      </w:r>
      <w:r w:rsidR="000A0127">
        <w:t xml:space="preserve"> </w:t>
      </w:r>
      <w:r w:rsidRPr="00253873">
        <w:rPr>
          <w:rFonts w:ascii="Times New Roman" w:hAnsi="Times New Roman"/>
        </w:rPr>
        <w:t>WSSA</w:t>
      </w:r>
      <w:r w:rsidR="0071467A">
        <w:t xml:space="preserve"> [s</w:t>
      </w:r>
      <w:r w:rsidR="000A0127">
        <w:t xml:space="preserve">ee </w:t>
      </w:r>
      <w:r>
        <w:t xml:space="preserve">below “Risk of Resistance” </w:t>
      </w:r>
      <w:r>
        <w:t>summary table</w:t>
      </w:r>
      <w:r w:rsidR="0048382F">
        <w:t>]</w:t>
      </w:r>
      <w:r>
        <w:t xml:space="preserve">.  </w:t>
      </w:r>
    </w:p>
    <w:p w14:paraId="05A165D7" w14:textId="77777777" w:rsidR="00CD71FC" w:rsidRDefault="00AE206D" w:rsidP="00CD71FC">
      <w:pPr>
        <w:pStyle w:val="ListParagraph"/>
        <w:widowControl w:val="0"/>
        <w:numPr>
          <w:ilvl w:val="0"/>
          <w:numId w:val="3"/>
        </w:numPr>
        <w:spacing w:after="0"/>
        <w:ind w:left="360"/>
      </w:pPr>
      <w:r>
        <w:t xml:space="preserve">The most important practice </w:t>
      </w:r>
      <w:r w:rsidR="0048382F">
        <w:t xml:space="preserve">to use for </w:t>
      </w:r>
      <w:r>
        <w:t xml:space="preserve">preventing and/or managing HR weeds is to use herbicides with different mechanisms or modes of action </w:t>
      </w:r>
      <w:r w:rsidR="0071467A">
        <w:t>[</w:t>
      </w:r>
      <w:hyperlink r:id="rId14" w:anchor="p=1" w:history="1">
        <w:r>
          <w:rPr>
            <w:rStyle w:val="Hyperlink"/>
          </w:rPr>
          <w:t>MOA</w:t>
        </w:r>
      </w:hyperlink>
      <w:r w:rsidR="0071467A">
        <w:t>]</w:t>
      </w:r>
      <w:r>
        <w:t xml:space="preserve"> prior to planting and throughout the growing season.  Growers should check the group number on the herbicide label to ensure selection of the correct MOA to match targeted weeds.  Frequent use of herbicides with the same MOA is the single most important factor in the development of HR weeds.</w:t>
      </w:r>
    </w:p>
    <w:p w14:paraId="2A9F7A1C" w14:textId="153AA38F" w:rsidR="00282A37" w:rsidRDefault="00AE206D" w:rsidP="00CD71FC">
      <w:pPr>
        <w:pStyle w:val="ListParagraph"/>
        <w:widowControl w:val="0"/>
        <w:numPr>
          <w:ilvl w:val="0"/>
          <w:numId w:val="3"/>
        </w:numPr>
        <w:spacing w:after="0"/>
        <w:ind w:left="360"/>
      </w:pPr>
      <w:r>
        <w:t>Weed species present in individual fields should be documented each year so that MOA knowledge and level of weed control by individual herbicides</w:t>
      </w:r>
      <w:r w:rsidR="00B10A99">
        <w:t xml:space="preserve"> that are applied</w:t>
      </w:r>
      <w:r>
        <w:t xml:space="preserve"> can be coupled when making herbicide decisions.</w:t>
      </w:r>
    </w:p>
    <w:p w14:paraId="326669BA" w14:textId="2D53AA5D" w:rsidR="00282A37" w:rsidRDefault="00AE206D" w:rsidP="00CD71FC">
      <w:pPr>
        <w:pStyle w:val="Level1"/>
        <w:numPr>
          <w:ilvl w:val="0"/>
          <w:numId w:val="3"/>
        </w:numPr>
        <w:ind w:left="360"/>
      </w:pPr>
      <w:r>
        <w:t xml:space="preserve">If resistant weed populations have emerged prior to soybean planting and/or emergence, tank-mix a burndown herbicide with </w:t>
      </w:r>
      <w:r w:rsidR="00253873">
        <w:t>a herbicide</w:t>
      </w:r>
      <w:r>
        <w:t xml:space="preserve"> </w:t>
      </w:r>
      <w:r w:rsidR="00253873">
        <w:t xml:space="preserve">from a </w:t>
      </w:r>
      <w:r>
        <w:t>Group</w:t>
      </w:r>
      <w:r w:rsidR="00253873">
        <w:t xml:space="preserve"> other than that of the burndown herbicide</w:t>
      </w:r>
      <w:r>
        <w:t>.</w:t>
      </w:r>
    </w:p>
    <w:p w14:paraId="0A08EB49" w14:textId="7EF87574" w:rsidR="00282A37" w:rsidRDefault="00AE206D" w:rsidP="00CD71FC">
      <w:pPr>
        <w:pStyle w:val="Level1"/>
        <w:numPr>
          <w:ilvl w:val="0"/>
          <w:numId w:val="3"/>
        </w:numPr>
        <w:ind w:left="360"/>
      </w:pPr>
      <w:r>
        <w:t xml:space="preserve">In the Midsouth where </w:t>
      </w:r>
      <w:r w:rsidR="00AA2655">
        <w:t>HR</w:t>
      </w:r>
      <w:r>
        <w:t xml:space="preserve"> Palmer amaranth is the major problem, plant in a seedbed that is free of this problem weed.</w:t>
      </w:r>
    </w:p>
    <w:p w14:paraId="3FE54909" w14:textId="44434B2F" w:rsidR="006A47DD" w:rsidRDefault="00AE206D" w:rsidP="00CD71FC">
      <w:pPr>
        <w:pStyle w:val="Level1"/>
        <w:numPr>
          <w:ilvl w:val="0"/>
          <w:numId w:val="3"/>
        </w:numPr>
        <w:ind w:left="360"/>
      </w:pPr>
      <w:r>
        <w:t xml:space="preserve">Use tillage as a control measure on sites that are not highly susceptible to erosion or when needed as a last resort in a minimum tillage system.  A </w:t>
      </w:r>
      <w:hyperlink r:id="rId15" w:history="1">
        <w:r w:rsidRPr="00A11270">
          <w:rPr>
            <w:rStyle w:val="Hyperlink"/>
          </w:rPr>
          <w:t>CA</w:t>
        </w:r>
        <w:r w:rsidRPr="00A11270">
          <w:rPr>
            <w:rStyle w:val="Hyperlink"/>
          </w:rPr>
          <w:t>S</w:t>
        </w:r>
        <w:r w:rsidR="008177F7">
          <w:rPr>
            <w:rStyle w:val="Hyperlink"/>
          </w:rPr>
          <w:t>T report</w:t>
        </w:r>
      </w:hyperlink>
      <w:r>
        <w:t xml:space="preserve"> concluded that HR weeds pose one of the most significant threats to soil conservation since the inception of the USDA-NRCS because HR weeds have forced growers to include or intensify tillage in their cropping systems if they are to remain economically viable.  Thus, using BMP’s other than tillage for management of HR </w:t>
      </w:r>
      <w:r>
        <w:lastRenderedPageBreak/>
        <w:t>weeds should have a high priority to encourage the continuation of land stewardship.</w:t>
      </w:r>
    </w:p>
    <w:p w14:paraId="71443809" w14:textId="6371E9B6" w:rsidR="00282A37" w:rsidRDefault="00AE206D" w:rsidP="00CD71FC">
      <w:pPr>
        <w:pStyle w:val="Level1"/>
        <w:numPr>
          <w:ilvl w:val="0"/>
          <w:numId w:val="3"/>
        </w:numPr>
        <w:ind w:left="360"/>
      </w:pPr>
      <w:r>
        <w:t>Use the full labeled rate of all herbicides that are applied.</w:t>
      </w:r>
    </w:p>
    <w:p w14:paraId="21096805" w14:textId="62D6F406" w:rsidR="00282A37" w:rsidRDefault="00AE206D" w:rsidP="00CD71FC">
      <w:pPr>
        <w:pStyle w:val="Level1"/>
        <w:numPr>
          <w:ilvl w:val="0"/>
          <w:numId w:val="3"/>
        </w:numPr>
        <w:ind w:left="360"/>
      </w:pPr>
      <w:r>
        <w:t>If and when GR weeds escape control with</w:t>
      </w:r>
      <w:r w:rsidR="00CD71FC">
        <w:t xml:space="preserve"> PRE</w:t>
      </w:r>
      <w:r>
        <w:t xml:space="preserve"> residual herbicides, use timely applications of </w:t>
      </w:r>
      <w:r w:rsidR="00CD71FC">
        <w:t>POST</w:t>
      </w:r>
      <w:r>
        <w:t xml:space="preserve"> herbicides that have an MOA different from that of glyphosate.</w:t>
      </w:r>
    </w:p>
    <w:p w14:paraId="6CF76736" w14:textId="35C0DCEF" w:rsidR="00282A37" w:rsidRDefault="00AE206D" w:rsidP="00CD71FC">
      <w:pPr>
        <w:pStyle w:val="Level1"/>
        <w:numPr>
          <w:ilvl w:val="0"/>
          <w:numId w:val="3"/>
        </w:numPr>
        <w:ind w:left="360"/>
      </w:pPr>
      <w:r>
        <w:t>Add a herbicide with in-crop residual activity in combination with</w:t>
      </w:r>
      <w:r w:rsidR="00CD71FC">
        <w:t xml:space="preserve"> </w:t>
      </w:r>
      <w:r w:rsidR="00FE0AE7">
        <w:t>POST</w:t>
      </w:r>
      <w:r>
        <w:t xml:space="preserve"> contact herbicide applications in cases where multiple flushes of weeds are expected.</w:t>
      </w:r>
    </w:p>
    <w:p w14:paraId="1EF28D60" w14:textId="40D2388C" w:rsidR="00282A37" w:rsidRDefault="00AE206D" w:rsidP="00CD71FC">
      <w:pPr>
        <w:pStyle w:val="Level1"/>
        <w:numPr>
          <w:ilvl w:val="0"/>
          <w:numId w:val="3"/>
        </w:numPr>
        <w:ind w:left="360"/>
      </w:pPr>
      <w:r>
        <w:t>Overlap residual herbicides from burndown to canopy-closure applications to ensure minimum escapes during the growing season.</w:t>
      </w:r>
    </w:p>
    <w:p w14:paraId="0F342E07" w14:textId="5BD035FD" w:rsidR="00282A37" w:rsidRDefault="00AE206D" w:rsidP="00CD71FC">
      <w:pPr>
        <w:pStyle w:val="Level1"/>
        <w:numPr>
          <w:ilvl w:val="0"/>
          <w:numId w:val="3"/>
        </w:numPr>
        <w:ind w:left="360"/>
      </w:pPr>
      <w:r>
        <w:t>Use fall weed control measures such as residual herbicides to provide an edge going into the following growing season.</w:t>
      </w:r>
    </w:p>
    <w:p w14:paraId="340F906D" w14:textId="241D105D" w:rsidR="00CD71FC" w:rsidRDefault="00AE206D" w:rsidP="00CD71FC">
      <w:pPr>
        <w:pStyle w:val="Level1"/>
        <w:numPr>
          <w:ilvl w:val="0"/>
          <w:numId w:val="3"/>
        </w:numPr>
        <w:ind w:left="360"/>
      </w:pPr>
      <w:r>
        <w:t xml:space="preserve">Rotate herbicide MOA’s in </w:t>
      </w:r>
      <w:r w:rsidR="00FE0AE7">
        <w:t>POST</w:t>
      </w:r>
      <w:r>
        <w:t xml:space="preserve"> applications.  Use tank-mixes</w:t>
      </w:r>
      <w:r w:rsidR="008177F7">
        <w:t xml:space="preserve"> or premixes</w:t>
      </w:r>
      <w:r>
        <w:t xml:space="preserve"> to facilitate this activity.</w:t>
      </w:r>
    </w:p>
    <w:p w14:paraId="437178DB" w14:textId="1B76B522" w:rsidR="00282A37" w:rsidRDefault="00AE206D" w:rsidP="00CD71FC">
      <w:pPr>
        <w:pStyle w:val="Level1"/>
        <w:numPr>
          <w:ilvl w:val="0"/>
          <w:numId w:val="3"/>
        </w:numPr>
        <w:ind w:left="360"/>
      </w:pPr>
      <w:r>
        <w:t>When tank-mixing herbicides with glyphosate to control GR weeds, it is important that the non-glyphosate herbicide is added at a rate that will control the targeted weed alone or in the absence of glyphosate.  Otherwise, the GR weed will not be killed and will continue to live and reproduce.</w:t>
      </w:r>
    </w:p>
    <w:p w14:paraId="04DB4530" w14:textId="67B6A4FE" w:rsidR="00282A37" w:rsidRDefault="00AE206D" w:rsidP="00CD71FC">
      <w:pPr>
        <w:pStyle w:val="Level1"/>
        <w:numPr>
          <w:ilvl w:val="0"/>
          <w:numId w:val="3"/>
        </w:numPr>
        <w:ind w:left="360"/>
      </w:pPr>
      <w:r>
        <w:t>Each acre should get a minimum of two</w:t>
      </w:r>
      <w:r w:rsidR="00CD71FC">
        <w:t xml:space="preserve"> herbicide</w:t>
      </w:r>
      <w:r>
        <w:t xml:space="preserve"> MOA’s that are effective for control of targeted weeds.  If GR weeds are present, growers should use two MOA’s in addition to that of glyphosate.</w:t>
      </w:r>
    </w:p>
    <w:p w14:paraId="0FE38022" w14:textId="18A9CC3E" w:rsidR="00282A37" w:rsidRDefault="00AE206D" w:rsidP="00CD71FC">
      <w:pPr>
        <w:pStyle w:val="Level1"/>
        <w:numPr>
          <w:ilvl w:val="0"/>
          <w:numId w:val="3"/>
        </w:numPr>
        <w:ind w:left="360"/>
      </w:pPr>
      <w:r>
        <w:t>Rotate herbicides with different MOA’s yearly.  Simply rotating herbicides that have the same MOA will only delay the inevitable occurrence of HR weeds.</w:t>
      </w:r>
    </w:p>
    <w:p w14:paraId="69A54CB9" w14:textId="77777777" w:rsidR="00CD71FC" w:rsidRDefault="00AE206D" w:rsidP="00CD71FC">
      <w:pPr>
        <w:pStyle w:val="Level1"/>
        <w:numPr>
          <w:ilvl w:val="0"/>
          <w:numId w:val="3"/>
        </w:numPr>
        <w:ind w:left="360"/>
      </w:pPr>
      <w:r>
        <w:t>If there are no HR weeds in a field, it is still very important to rotate herbicides with different MOA’s to prevent or delay the establishment of HR weeds.</w:t>
      </w:r>
    </w:p>
    <w:p w14:paraId="077CAC4F" w14:textId="19264E77" w:rsidR="00282A37" w:rsidRDefault="00AE206D" w:rsidP="00CD71FC">
      <w:pPr>
        <w:pStyle w:val="Level1"/>
        <w:numPr>
          <w:ilvl w:val="0"/>
          <w:numId w:val="3"/>
        </w:numPr>
        <w:ind w:left="360"/>
      </w:pPr>
      <w:r>
        <w:t xml:space="preserve">If weed species’ resistance to glyphosate is not documented in a particular field or fields, then using glyphosate is a viable option when used in rotation with other herbicide(s) with a different MOA.  In fact, glyphosate used in rotation is an excellent resistance management option if there </w:t>
      </w:r>
      <w:r w:rsidR="00CD71FC">
        <w:t>are</w:t>
      </w:r>
      <w:r>
        <w:t xml:space="preserve"> no documented GR</w:t>
      </w:r>
      <w:r w:rsidR="00CD71FC">
        <w:t xml:space="preserve"> weeds</w:t>
      </w:r>
      <w:r>
        <w:t>.</w:t>
      </w:r>
    </w:p>
    <w:p w14:paraId="54EAF757" w14:textId="241B331F" w:rsidR="00AE206D" w:rsidRDefault="00AE206D" w:rsidP="00CD71FC">
      <w:pPr>
        <w:pStyle w:val="Level1"/>
        <w:numPr>
          <w:ilvl w:val="0"/>
          <w:numId w:val="3"/>
        </w:numPr>
        <w:ind w:left="360"/>
      </w:pPr>
      <w:r>
        <w:t>Crop rotation offers opportunity for herbicide MOA rotation to prevent or delay development of HR weeds.  Crop rotation will determine the frequency and type of herbicide that is applied, and is a major factor in the selection of non-chemical weed control options.  The principle of crop rotation as a resistance management tool is that different crops will allow rotation of herbicides that have different MOA’s.</w:t>
      </w:r>
    </w:p>
    <w:p w14:paraId="551F97A0" w14:textId="77777777" w:rsidR="006A47DD" w:rsidRDefault="006A47DD" w:rsidP="006A47DD">
      <w:pPr>
        <w:pStyle w:val="Level1"/>
      </w:pPr>
    </w:p>
    <w:p w14:paraId="3808B8DB" w14:textId="641B4139" w:rsidR="006A47DD" w:rsidRPr="00B46CF5" w:rsidRDefault="00B46CF5" w:rsidP="006A47DD">
      <w:pPr>
        <w:widowControl w:val="0"/>
        <w:jc w:val="center"/>
        <w:rPr>
          <w:rStyle w:val="Hyperlink"/>
          <w:rFonts w:ascii="Cambria" w:hAnsi="Cambria"/>
        </w:rPr>
      </w:pPr>
      <w:r>
        <w:rPr>
          <w:b/>
        </w:rPr>
        <w:fldChar w:fldCharType="begin"/>
      </w:r>
      <w:r w:rsidR="00237A4A">
        <w:rPr>
          <w:b/>
        </w:rPr>
        <w:instrText>HYPERLINK "https://www.mssoy.org/resources/using-herbicide-moa-to-select-herbicides-mssoy-white-paper?tags=weeds" \l "p=1"</w:instrText>
      </w:r>
      <w:r>
        <w:rPr>
          <w:b/>
        </w:rPr>
      </w:r>
      <w:r>
        <w:rPr>
          <w:b/>
        </w:rPr>
        <w:fldChar w:fldCharType="separate"/>
      </w:r>
      <w:r w:rsidR="00C36BF1" w:rsidRPr="00B46CF5">
        <w:rPr>
          <w:rStyle w:val="Hyperlink"/>
          <w:rFonts w:ascii="Cambria" w:hAnsi="Cambria"/>
        </w:rPr>
        <w:t>Herbici</w:t>
      </w:r>
      <w:r w:rsidR="00C36BF1" w:rsidRPr="00B46CF5">
        <w:rPr>
          <w:rStyle w:val="Hyperlink"/>
          <w:rFonts w:ascii="Cambria" w:hAnsi="Cambria"/>
        </w:rPr>
        <w:t>d</w:t>
      </w:r>
      <w:r w:rsidR="00C36BF1" w:rsidRPr="00B46CF5">
        <w:rPr>
          <w:rStyle w:val="Hyperlink"/>
          <w:rFonts w:ascii="Cambria" w:hAnsi="Cambria"/>
        </w:rPr>
        <w:t>e MOA</w:t>
      </w:r>
    </w:p>
    <w:p w14:paraId="41A87A55" w14:textId="5A67ADAD" w:rsidR="006A47DD" w:rsidRDefault="00B46CF5" w:rsidP="006A47DD">
      <w:pPr>
        <w:widowControl w:val="0"/>
      </w:pPr>
      <w:r>
        <w:rPr>
          <w:b/>
        </w:rPr>
        <w:fldChar w:fldCharType="end"/>
      </w:r>
      <w:r w:rsidR="006A47DD">
        <w:t xml:space="preserve">Knowledge of the MOA categories will aid in managing weeds that are resistant to herbicides that are now available.  Using this additional management tool will reduce, if not prevent, the likelihood of selecting for HR weeds.  In fact, in today’s conservation production systems that rely on herbicides for </w:t>
      </w:r>
      <w:r w:rsidR="00FE0AE7">
        <w:t xml:space="preserve">the majority of </w:t>
      </w:r>
      <w:r w:rsidR="006A47DD">
        <w:t>weed management, selecting and using herbicides with different MOA’s is the primary tool for preventing and/or managing HR</w:t>
      </w:r>
      <w:r w:rsidR="00A11270">
        <w:t xml:space="preserve"> weeds</w:t>
      </w:r>
      <w:r w:rsidR="006A47DD">
        <w:t>.</w:t>
      </w:r>
    </w:p>
    <w:p w14:paraId="193DAA34" w14:textId="77777777" w:rsidR="00F34F05" w:rsidRDefault="006A47DD" w:rsidP="00C36BF1">
      <w:pPr>
        <w:widowControl w:val="0"/>
      </w:pPr>
      <w:r>
        <w:t>The numerical classification system developed by the WSSA is available on herbicide labels.  Near the top of the label, a box labeled “Group Herbicide” contains the number or numbers that indicate the MOA of the product’s active ingredient(s).  Multiple numbers in the box indicate that the herbicide or herbicide premix has more than one MOA.</w:t>
      </w:r>
    </w:p>
    <w:p w14:paraId="33F7F931" w14:textId="04BCE34E" w:rsidR="006A47DD" w:rsidRDefault="006A47DD" w:rsidP="00C36BF1">
      <w:pPr>
        <w:widowControl w:val="0"/>
      </w:pPr>
      <w:r>
        <w:t xml:space="preserve">Examples are the labels for </w:t>
      </w:r>
      <w:hyperlink r:id="rId16" w:history="1">
        <w:r w:rsidRPr="00F264AD">
          <w:rPr>
            <w:rStyle w:val="Hyperlink"/>
          </w:rPr>
          <w:t>Roundup WeatherMax</w:t>
        </w:r>
      </w:hyperlink>
      <w:r>
        <w:t xml:space="preserve"> </w:t>
      </w:r>
      <w:r w:rsidR="008177F7">
        <w:t>[</w:t>
      </w:r>
      <w:r>
        <w:t>Group 9</w:t>
      </w:r>
      <w:r w:rsidR="008177F7">
        <w:t>]</w:t>
      </w:r>
    </w:p>
    <w:p w14:paraId="4B1F940F" w14:textId="77777777" w:rsidR="006A47DD" w:rsidRDefault="006A47DD" w:rsidP="006A47DD">
      <w:pPr>
        <w:widowControl w:val="0"/>
        <w:spacing w:after="0"/>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4A0" w:firstRow="1" w:lastRow="0" w:firstColumn="1" w:lastColumn="0" w:noHBand="0" w:noVBand="1"/>
      </w:tblPr>
      <w:tblGrid>
        <w:gridCol w:w="1170"/>
        <w:gridCol w:w="810"/>
        <w:gridCol w:w="1350"/>
      </w:tblGrid>
      <w:tr w:rsidR="006A47DD" w14:paraId="4BE6B314" w14:textId="77777777" w:rsidTr="006A47DD">
        <w:trPr>
          <w:cantSplit/>
        </w:trPr>
        <w:tc>
          <w:tcPr>
            <w:tcW w:w="1170" w:type="dxa"/>
            <w:tcBorders>
              <w:top w:val="single" w:sz="8" w:space="0" w:color="000000"/>
              <w:left w:val="single" w:sz="8" w:space="0" w:color="000000"/>
              <w:bottom w:val="single" w:sz="8" w:space="0" w:color="000000"/>
              <w:right w:val="single" w:sz="8" w:space="0" w:color="000000"/>
            </w:tcBorders>
            <w:tcMar>
              <w:top w:w="58" w:type="dxa"/>
              <w:left w:w="120" w:type="dxa"/>
              <w:bottom w:w="58" w:type="dxa"/>
              <w:right w:w="120" w:type="dxa"/>
            </w:tcMar>
            <w:hideMark/>
          </w:tcPr>
          <w:p w14:paraId="157FD353" w14:textId="77777777" w:rsidR="006A47DD" w:rsidRDefault="006A47DD" w:rsidP="006A47DD">
            <w:pPr>
              <w:widowControl w:val="0"/>
              <w:spacing w:after="0"/>
              <w:jc w:val="center"/>
              <w:rPr>
                <w:sz w:val="20"/>
              </w:rPr>
            </w:pPr>
            <w:r>
              <w:rPr>
                <w:sz w:val="20"/>
              </w:rPr>
              <w:t>GROUP</w:t>
            </w:r>
          </w:p>
        </w:tc>
        <w:tc>
          <w:tcPr>
            <w:tcW w:w="810" w:type="dxa"/>
            <w:tcBorders>
              <w:top w:val="single" w:sz="8" w:space="0" w:color="000000"/>
              <w:left w:val="single" w:sz="8" w:space="0" w:color="000000"/>
              <w:bottom w:val="single" w:sz="8" w:space="0" w:color="000000"/>
              <w:right w:val="single" w:sz="8" w:space="0" w:color="000000"/>
            </w:tcBorders>
            <w:shd w:val="solid" w:color="000000" w:fill="0000FF"/>
            <w:tcMar>
              <w:top w:w="58" w:type="dxa"/>
              <w:left w:w="120" w:type="dxa"/>
              <w:bottom w:w="58" w:type="dxa"/>
              <w:right w:w="120" w:type="dxa"/>
            </w:tcMar>
            <w:hideMark/>
          </w:tcPr>
          <w:p w14:paraId="63DAE2C1" w14:textId="77777777" w:rsidR="006A47DD" w:rsidRDefault="006A47DD" w:rsidP="006A47DD">
            <w:pPr>
              <w:widowControl w:val="0"/>
              <w:spacing w:after="0"/>
              <w:jc w:val="center"/>
              <w:rPr>
                <w:color w:val="FFFFFF"/>
                <w:sz w:val="20"/>
              </w:rPr>
            </w:pPr>
            <w:r>
              <w:rPr>
                <w:color w:val="FFFFFF"/>
                <w:sz w:val="20"/>
              </w:rPr>
              <w:t>9</w:t>
            </w:r>
          </w:p>
        </w:tc>
        <w:tc>
          <w:tcPr>
            <w:tcW w:w="1350" w:type="dxa"/>
            <w:tcBorders>
              <w:top w:val="single" w:sz="8" w:space="0" w:color="000000"/>
              <w:left w:val="single" w:sz="8" w:space="0" w:color="000000"/>
              <w:bottom w:val="single" w:sz="8" w:space="0" w:color="000000"/>
              <w:right w:val="single" w:sz="8" w:space="0" w:color="000000"/>
            </w:tcBorders>
            <w:tcMar>
              <w:top w:w="58" w:type="dxa"/>
              <w:left w:w="120" w:type="dxa"/>
              <w:bottom w:w="58" w:type="dxa"/>
              <w:right w:w="120" w:type="dxa"/>
            </w:tcMar>
            <w:hideMark/>
          </w:tcPr>
          <w:p w14:paraId="5F39EA84" w14:textId="77777777" w:rsidR="006A47DD" w:rsidRDefault="006A47DD" w:rsidP="006A47DD">
            <w:pPr>
              <w:widowControl w:val="0"/>
              <w:spacing w:after="0"/>
              <w:jc w:val="center"/>
              <w:rPr>
                <w:color w:val="FFFFFF"/>
                <w:sz w:val="20"/>
              </w:rPr>
            </w:pPr>
            <w:r>
              <w:rPr>
                <w:color w:val="000000"/>
                <w:sz w:val="20"/>
              </w:rPr>
              <w:t>HERBICIDE</w:t>
            </w:r>
          </w:p>
        </w:tc>
      </w:tr>
    </w:tbl>
    <w:p w14:paraId="6C70DA08" w14:textId="77777777" w:rsidR="006A47DD" w:rsidRDefault="006A47DD" w:rsidP="006A47DD">
      <w:pPr>
        <w:widowControl w:val="0"/>
        <w:spacing w:after="0"/>
        <w:rPr>
          <w:color w:val="000000"/>
        </w:rPr>
      </w:pPr>
    </w:p>
    <w:p w14:paraId="406967F5" w14:textId="12994823" w:rsidR="006A47DD" w:rsidRDefault="006A47DD" w:rsidP="006A47DD">
      <w:pPr>
        <w:widowControl w:val="0"/>
        <w:spacing w:after="0"/>
        <w:rPr>
          <w:color w:val="000000"/>
        </w:rPr>
      </w:pPr>
      <w:r>
        <w:rPr>
          <w:color w:val="000000"/>
        </w:rPr>
        <w:t xml:space="preserve">and </w:t>
      </w:r>
      <w:hyperlink r:id="rId17" w:history="1">
        <w:r w:rsidRPr="00F264AD">
          <w:rPr>
            <w:rStyle w:val="Hyperlink"/>
          </w:rPr>
          <w:t>Valor XLT</w:t>
        </w:r>
      </w:hyperlink>
      <w:r>
        <w:rPr>
          <w:color w:val="000000"/>
        </w:rPr>
        <w:t xml:space="preserve"> </w:t>
      </w:r>
      <w:r w:rsidR="008177F7">
        <w:rPr>
          <w:color w:val="000000"/>
        </w:rPr>
        <w:t>[</w:t>
      </w:r>
      <w:r>
        <w:rPr>
          <w:color w:val="000000"/>
        </w:rPr>
        <w:t>Groups 2 and 14</w:t>
      </w:r>
      <w:r w:rsidR="008177F7">
        <w:rPr>
          <w:color w:val="000000"/>
        </w:rPr>
        <w:t>]</w:t>
      </w:r>
      <w:r>
        <w:rPr>
          <w:color w:val="000000"/>
        </w:rPr>
        <w:t>.</w:t>
      </w:r>
    </w:p>
    <w:p w14:paraId="26C5F002" w14:textId="77777777" w:rsidR="006A47DD" w:rsidRDefault="006A47DD" w:rsidP="006A47DD">
      <w:pPr>
        <w:widowControl w:val="0"/>
        <w:spacing w:after="0"/>
        <w:rPr>
          <w:color w:val="000000"/>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4A0" w:firstRow="1" w:lastRow="0" w:firstColumn="1" w:lastColumn="0" w:noHBand="0" w:noVBand="1"/>
      </w:tblPr>
      <w:tblGrid>
        <w:gridCol w:w="1170"/>
        <w:gridCol w:w="810"/>
        <w:gridCol w:w="1350"/>
      </w:tblGrid>
      <w:tr w:rsidR="006A47DD" w14:paraId="0005E5BF" w14:textId="77777777" w:rsidTr="006A47DD">
        <w:trPr>
          <w:cantSplit/>
        </w:trPr>
        <w:tc>
          <w:tcPr>
            <w:tcW w:w="1170" w:type="dxa"/>
            <w:tcBorders>
              <w:top w:val="single" w:sz="8" w:space="0" w:color="000000"/>
              <w:left w:val="single" w:sz="8" w:space="0" w:color="000000"/>
              <w:bottom w:val="single" w:sz="8" w:space="0" w:color="000000"/>
              <w:right w:val="single" w:sz="8" w:space="0" w:color="000000"/>
            </w:tcBorders>
            <w:tcMar>
              <w:top w:w="58" w:type="dxa"/>
              <w:left w:w="120" w:type="dxa"/>
              <w:bottom w:w="58" w:type="dxa"/>
              <w:right w:w="120" w:type="dxa"/>
            </w:tcMar>
            <w:hideMark/>
          </w:tcPr>
          <w:p w14:paraId="12953394" w14:textId="77777777" w:rsidR="006A47DD" w:rsidRDefault="006A47DD" w:rsidP="006A47DD">
            <w:pPr>
              <w:widowControl w:val="0"/>
              <w:spacing w:after="0"/>
              <w:jc w:val="center"/>
              <w:rPr>
                <w:color w:val="000000"/>
                <w:sz w:val="20"/>
              </w:rPr>
            </w:pPr>
            <w:r>
              <w:rPr>
                <w:color w:val="000000"/>
                <w:sz w:val="20"/>
              </w:rPr>
              <w:t>GROUP</w:t>
            </w:r>
          </w:p>
        </w:tc>
        <w:tc>
          <w:tcPr>
            <w:tcW w:w="810" w:type="dxa"/>
            <w:tcBorders>
              <w:top w:val="single" w:sz="8" w:space="0" w:color="000000"/>
              <w:left w:val="single" w:sz="8" w:space="0" w:color="000000"/>
              <w:bottom w:val="single" w:sz="8" w:space="0" w:color="000000"/>
              <w:right w:val="single" w:sz="8" w:space="0" w:color="000000"/>
            </w:tcBorders>
            <w:shd w:val="solid" w:color="000000" w:fill="0000FF"/>
            <w:tcMar>
              <w:top w:w="58" w:type="dxa"/>
              <w:left w:w="120" w:type="dxa"/>
              <w:bottom w:w="58" w:type="dxa"/>
              <w:right w:w="120" w:type="dxa"/>
            </w:tcMar>
            <w:hideMark/>
          </w:tcPr>
          <w:p w14:paraId="00E866BF" w14:textId="77777777" w:rsidR="006A47DD" w:rsidRDefault="006A47DD" w:rsidP="006A47DD">
            <w:pPr>
              <w:widowControl w:val="0"/>
              <w:spacing w:after="0"/>
              <w:jc w:val="center"/>
              <w:rPr>
                <w:color w:val="FFFFFF"/>
                <w:sz w:val="20"/>
              </w:rPr>
            </w:pPr>
            <w:r>
              <w:rPr>
                <w:color w:val="FFFFFF"/>
                <w:sz w:val="20"/>
              </w:rPr>
              <w:t>2 + 14</w:t>
            </w:r>
          </w:p>
        </w:tc>
        <w:tc>
          <w:tcPr>
            <w:tcW w:w="1350" w:type="dxa"/>
            <w:tcBorders>
              <w:top w:val="single" w:sz="8" w:space="0" w:color="000000"/>
              <w:left w:val="single" w:sz="8" w:space="0" w:color="000000"/>
              <w:bottom w:val="single" w:sz="8" w:space="0" w:color="000000"/>
              <w:right w:val="single" w:sz="8" w:space="0" w:color="000000"/>
            </w:tcBorders>
            <w:tcMar>
              <w:top w:w="58" w:type="dxa"/>
              <w:left w:w="120" w:type="dxa"/>
              <w:bottom w:w="58" w:type="dxa"/>
              <w:right w:w="120" w:type="dxa"/>
            </w:tcMar>
            <w:hideMark/>
          </w:tcPr>
          <w:p w14:paraId="6EBA66C7" w14:textId="77777777" w:rsidR="006A47DD" w:rsidRDefault="006A47DD" w:rsidP="006A47DD">
            <w:pPr>
              <w:widowControl w:val="0"/>
              <w:spacing w:after="0"/>
              <w:jc w:val="center"/>
              <w:rPr>
                <w:color w:val="000000"/>
                <w:sz w:val="20"/>
              </w:rPr>
            </w:pPr>
            <w:r>
              <w:rPr>
                <w:color w:val="000000"/>
                <w:sz w:val="20"/>
              </w:rPr>
              <w:t>HERBICIDE</w:t>
            </w:r>
          </w:p>
        </w:tc>
      </w:tr>
    </w:tbl>
    <w:p w14:paraId="7D4B7C5E" w14:textId="77777777" w:rsidR="006A47DD" w:rsidRDefault="006A47DD" w:rsidP="006A47DD">
      <w:pPr>
        <w:widowControl w:val="0"/>
        <w:spacing w:after="0"/>
        <w:rPr>
          <w:color w:val="000000"/>
          <w:szCs w:val="20"/>
        </w:rPr>
      </w:pPr>
    </w:p>
    <w:p w14:paraId="53EF13E4" w14:textId="5120CBF8" w:rsidR="006A47DD" w:rsidRDefault="006A47DD" w:rsidP="006A47DD">
      <w:pPr>
        <w:widowControl w:val="0"/>
        <w:spacing w:after="0"/>
        <w:rPr>
          <w:color w:val="000000"/>
        </w:rPr>
      </w:pPr>
      <w:r>
        <w:rPr>
          <w:color w:val="000000"/>
        </w:rPr>
        <w:t xml:space="preserve">Selecting herbicides with different MOA’s must be combined with choosing herbicides within those MOA Groups that are effective at controlling targeted weeds in individual fields.  In other words, merely selecting herbicides from a different MOA Group will do little to reduce selection pressure if those herbicides are not effective at controlling </w:t>
      </w:r>
      <w:r w:rsidR="00A11270">
        <w:rPr>
          <w:color w:val="000000"/>
        </w:rPr>
        <w:t>targeted</w:t>
      </w:r>
      <w:r>
        <w:rPr>
          <w:color w:val="000000"/>
        </w:rPr>
        <w:t xml:space="preserve"> weeds in a field.</w:t>
      </w:r>
    </w:p>
    <w:p w14:paraId="15DAEF44" w14:textId="77777777" w:rsidR="006A47DD" w:rsidRDefault="006A47DD" w:rsidP="006A47DD">
      <w:pPr>
        <w:widowControl w:val="0"/>
        <w:spacing w:after="0"/>
        <w:rPr>
          <w:color w:val="000000"/>
        </w:rPr>
      </w:pPr>
    </w:p>
    <w:p w14:paraId="0B19CA97" w14:textId="06DA7E75" w:rsidR="006A47DD" w:rsidRDefault="004D2492" w:rsidP="006A47DD">
      <w:pPr>
        <w:widowControl w:val="0"/>
        <w:rPr>
          <w:color w:val="000000"/>
        </w:rPr>
      </w:pPr>
      <w:r>
        <w:rPr>
          <w:color w:val="000000"/>
        </w:rPr>
        <w:t>T</w:t>
      </w:r>
      <w:r w:rsidR="006A47DD">
        <w:rPr>
          <w:color w:val="000000"/>
        </w:rPr>
        <w:t xml:space="preserve">he discovery of new herbicide chemistries is rare, and the existing herbicide reservoir is exhaustible.  Thus, the indiscriminate use of a herbicide or herbicides </w:t>
      </w:r>
      <w:r w:rsidR="00FF47B2">
        <w:rPr>
          <w:color w:val="000000"/>
        </w:rPr>
        <w:t xml:space="preserve">with no rotation of herbicide MOA’s </w:t>
      </w:r>
      <w:r w:rsidR="006A47DD">
        <w:rPr>
          <w:color w:val="000000"/>
        </w:rPr>
        <w:t xml:space="preserve">will lead to the rapid evolution of HR weeds, and can result in the reduction of herbicide options </w:t>
      </w:r>
      <w:r>
        <w:rPr>
          <w:color w:val="000000"/>
        </w:rPr>
        <w:t xml:space="preserve">that are available </w:t>
      </w:r>
      <w:r w:rsidR="006A47DD">
        <w:rPr>
          <w:color w:val="000000"/>
        </w:rPr>
        <w:t>to all producers.</w:t>
      </w:r>
    </w:p>
    <w:p w14:paraId="1DE8E404" w14:textId="77777777" w:rsidR="00497FD5" w:rsidRPr="00497FD5" w:rsidRDefault="00497FD5" w:rsidP="00497FD5">
      <w:pPr>
        <w:widowControl w:val="0"/>
        <w:rPr>
          <w:color w:val="000000"/>
        </w:rPr>
        <w:sectPr w:rsidR="00497FD5" w:rsidRPr="00497FD5" w:rsidSect="00C36BF1">
          <w:type w:val="continuous"/>
          <w:pgSz w:w="12240" w:h="15840"/>
          <w:pgMar w:top="2880" w:right="1080" w:bottom="1080" w:left="1080" w:header="216" w:footer="720" w:gutter="0"/>
          <w:cols w:num="2" w:space="360"/>
        </w:sectPr>
      </w:pPr>
    </w:p>
    <w:p w14:paraId="0A8041D3" w14:textId="77777777" w:rsidR="00AE206D" w:rsidRDefault="00AE206D" w:rsidP="00AE206D">
      <w:pPr>
        <w:widowControl w:val="0"/>
      </w:pPr>
    </w:p>
    <w:p w14:paraId="756A035B" w14:textId="77777777" w:rsidR="00AE206D" w:rsidRDefault="00AE206D" w:rsidP="00AE206D">
      <w:pPr>
        <w:widowControl w:val="0"/>
        <w:rPr>
          <w:vanish/>
        </w:rPr>
      </w:pPr>
    </w:p>
    <w:tbl>
      <w:tblPr>
        <w:tblW w:w="0" w:type="auto"/>
        <w:tblInd w:w="120" w:type="dxa"/>
        <w:tblBorders>
          <w:insideH w:val="nil"/>
          <w:insideV w:val="nil"/>
        </w:tblBorders>
        <w:tblLayout w:type="fixed"/>
        <w:tblCellMar>
          <w:left w:w="43" w:type="dxa"/>
          <w:right w:w="43" w:type="dxa"/>
        </w:tblCellMar>
        <w:tblLook w:val="04A0" w:firstRow="1" w:lastRow="0" w:firstColumn="1" w:lastColumn="0" w:noHBand="0" w:noVBand="1"/>
      </w:tblPr>
      <w:tblGrid>
        <w:gridCol w:w="3150"/>
        <w:gridCol w:w="2430"/>
        <w:gridCol w:w="2533"/>
        <w:gridCol w:w="1800"/>
      </w:tblGrid>
      <w:tr w:rsidR="00AE206D" w14:paraId="02C04612" w14:textId="77777777" w:rsidTr="00F31B3D">
        <w:trPr>
          <w:cantSplit/>
        </w:trPr>
        <w:tc>
          <w:tcPr>
            <w:tcW w:w="3150" w:type="dxa"/>
            <w:tcBorders>
              <w:top w:val="single" w:sz="4" w:space="0" w:color="auto"/>
              <w:left w:val="single" w:sz="4" w:space="0" w:color="auto"/>
              <w:bottom w:val="nil"/>
              <w:right w:val="nil"/>
            </w:tcBorders>
            <w:tcMar>
              <w:top w:w="43" w:type="dxa"/>
              <w:left w:w="43" w:type="dxa"/>
              <w:bottom w:w="43" w:type="dxa"/>
              <w:right w:w="43" w:type="dxa"/>
            </w:tcMar>
          </w:tcPr>
          <w:p w14:paraId="7F0FB3BD" w14:textId="77777777" w:rsidR="00AE206D" w:rsidRDefault="00AE206D" w:rsidP="00282A37">
            <w:pPr>
              <w:widowControl w:val="0"/>
              <w:spacing w:after="0"/>
            </w:pPr>
          </w:p>
        </w:tc>
        <w:tc>
          <w:tcPr>
            <w:tcW w:w="6763" w:type="dxa"/>
            <w:gridSpan w:val="3"/>
            <w:tcBorders>
              <w:top w:val="single" w:sz="4" w:space="0" w:color="auto"/>
              <w:left w:val="nil"/>
              <w:bottom w:val="single" w:sz="18" w:space="0" w:color="000000"/>
              <w:right w:val="single" w:sz="4" w:space="0" w:color="auto"/>
            </w:tcBorders>
            <w:tcMar>
              <w:top w:w="43" w:type="dxa"/>
              <w:left w:w="43" w:type="dxa"/>
              <w:bottom w:w="43" w:type="dxa"/>
              <w:right w:w="43" w:type="dxa"/>
            </w:tcMar>
            <w:hideMark/>
          </w:tcPr>
          <w:p w14:paraId="186F5944" w14:textId="77777777" w:rsidR="00AE206D" w:rsidRDefault="00AE206D" w:rsidP="00282A37">
            <w:pPr>
              <w:widowControl w:val="0"/>
              <w:spacing w:after="0"/>
              <w:jc w:val="center"/>
            </w:pPr>
            <w:r>
              <w:rPr>
                <w:b/>
              </w:rPr>
              <w:t>Risk of Resistance</w:t>
            </w:r>
          </w:p>
        </w:tc>
      </w:tr>
      <w:tr w:rsidR="00AE206D" w14:paraId="01B89CF0" w14:textId="77777777" w:rsidTr="00F31B3D">
        <w:trPr>
          <w:cantSplit/>
        </w:trPr>
        <w:tc>
          <w:tcPr>
            <w:tcW w:w="3150" w:type="dxa"/>
            <w:tcBorders>
              <w:top w:val="nil"/>
              <w:left w:val="single" w:sz="4" w:space="0" w:color="auto"/>
              <w:bottom w:val="single" w:sz="18" w:space="0" w:color="000000"/>
              <w:right w:val="nil"/>
            </w:tcBorders>
            <w:tcMar>
              <w:top w:w="43" w:type="dxa"/>
              <w:left w:w="43" w:type="dxa"/>
              <w:bottom w:w="43" w:type="dxa"/>
              <w:right w:w="43" w:type="dxa"/>
            </w:tcMar>
            <w:hideMark/>
          </w:tcPr>
          <w:p w14:paraId="254CD524" w14:textId="77777777" w:rsidR="00AE206D" w:rsidRDefault="00AE206D" w:rsidP="00282A37">
            <w:pPr>
              <w:widowControl w:val="0"/>
              <w:spacing w:after="0"/>
            </w:pPr>
            <w:r>
              <w:t>Management option</w:t>
            </w:r>
          </w:p>
        </w:tc>
        <w:tc>
          <w:tcPr>
            <w:tcW w:w="2430" w:type="dxa"/>
            <w:tcBorders>
              <w:top w:val="single" w:sz="18" w:space="0" w:color="000000"/>
              <w:left w:val="nil"/>
              <w:bottom w:val="single" w:sz="18" w:space="0" w:color="000000"/>
              <w:right w:val="nil"/>
            </w:tcBorders>
            <w:tcMar>
              <w:top w:w="43" w:type="dxa"/>
              <w:left w:w="43" w:type="dxa"/>
              <w:bottom w:w="43" w:type="dxa"/>
              <w:right w:w="43" w:type="dxa"/>
            </w:tcMar>
            <w:hideMark/>
          </w:tcPr>
          <w:p w14:paraId="0F998D31" w14:textId="77777777" w:rsidR="00AE206D" w:rsidRDefault="00AE206D" w:rsidP="00282A37">
            <w:pPr>
              <w:widowControl w:val="0"/>
              <w:spacing w:after="0"/>
            </w:pPr>
            <w:r>
              <w:t>Low</w:t>
            </w:r>
          </w:p>
        </w:tc>
        <w:tc>
          <w:tcPr>
            <w:tcW w:w="2533" w:type="dxa"/>
            <w:tcBorders>
              <w:top w:val="single" w:sz="18" w:space="0" w:color="000000"/>
              <w:left w:val="nil"/>
              <w:bottom w:val="single" w:sz="18" w:space="0" w:color="000000"/>
              <w:right w:val="nil"/>
            </w:tcBorders>
            <w:tcMar>
              <w:top w:w="43" w:type="dxa"/>
              <w:left w:w="43" w:type="dxa"/>
              <w:bottom w:w="43" w:type="dxa"/>
              <w:right w:w="43" w:type="dxa"/>
            </w:tcMar>
            <w:hideMark/>
          </w:tcPr>
          <w:p w14:paraId="10CA4361" w14:textId="6635BEFC" w:rsidR="00AE206D" w:rsidRDefault="00A96152" w:rsidP="00282A37">
            <w:pPr>
              <w:widowControl w:val="0"/>
              <w:spacing w:after="0"/>
            </w:pPr>
            <w:r>
              <w:t>Moderate</w:t>
            </w:r>
          </w:p>
        </w:tc>
        <w:tc>
          <w:tcPr>
            <w:tcW w:w="1800" w:type="dxa"/>
            <w:tcBorders>
              <w:top w:val="single" w:sz="18" w:space="0" w:color="000000"/>
              <w:left w:val="nil"/>
              <w:bottom w:val="single" w:sz="18" w:space="0" w:color="000000"/>
              <w:right w:val="single" w:sz="4" w:space="0" w:color="auto"/>
            </w:tcBorders>
            <w:tcMar>
              <w:top w:w="43" w:type="dxa"/>
              <w:left w:w="43" w:type="dxa"/>
              <w:bottom w:w="43" w:type="dxa"/>
              <w:right w:w="43" w:type="dxa"/>
            </w:tcMar>
            <w:hideMark/>
          </w:tcPr>
          <w:p w14:paraId="3A87AB04" w14:textId="77777777" w:rsidR="00AE206D" w:rsidRDefault="00AE206D" w:rsidP="00282A37">
            <w:pPr>
              <w:widowControl w:val="0"/>
              <w:spacing w:after="0"/>
            </w:pPr>
            <w:r>
              <w:t>High</w:t>
            </w:r>
          </w:p>
        </w:tc>
      </w:tr>
      <w:tr w:rsidR="00AE206D" w14:paraId="61CE9196" w14:textId="77777777" w:rsidTr="00F31B3D">
        <w:trPr>
          <w:cantSplit/>
        </w:trPr>
        <w:tc>
          <w:tcPr>
            <w:tcW w:w="3150" w:type="dxa"/>
            <w:tcBorders>
              <w:top w:val="single" w:sz="18" w:space="0" w:color="000000"/>
              <w:left w:val="single" w:sz="4" w:space="0" w:color="auto"/>
              <w:bottom w:val="single" w:sz="4" w:space="0" w:color="auto"/>
              <w:right w:val="single" w:sz="4" w:space="0" w:color="auto"/>
            </w:tcBorders>
            <w:tcMar>
              <w:top w:w="43" w:type="dxa"/>
              <w:left w:w="43" w:type="dxa"/>
              <w:bottom w:w="43" w:type="dxa"/>
              <w:right w:w="43" w:type="dxa"/>
            </w:tcMar>
            <w:hideMark/>
          </w:tcPr>
          <w:p w14:paraId="2269468E" w14:textId="77777777" w:rsidR="00AE206D" w:rsidRDefault="00AE206D" w:rsidP="00282A37">
            <w:pPr>
              <w:widowControl w:val="0"/>
              <w:spacing w:after="0"/>
            </w:pPr>
            <w:r>
              <w:t>Herbicide mix or rotation</w:t>
            </w:r>
          </w:p>
        </w:tc>
        <w:tc>
          <w:tcPr>
            <w:tcW w:w="2430" w:type="dxa"/>
            <w:tcBorders>
              <w:top w:val="single" w:sz="18" w:space="0" w:color="000000"/>
              <w:left w:val="single" w:sz="4" w:space="0" w:color="auto"/>
              <w:bottom w:val="single" w:sz="4" w:space="0" w:color="auto"/>
              <w:right w:val="single" w:sz="4" w:space="0" w:color="auto"/>
            </w:tcBorders>
            <w:tcMar>
              <w:top w:w="43" w:type="dxa"/>
              <w:left w:w="43" w:type="dxa"/>
              <w:bottom w:w="43" w:type="dxa"/>
              <w:right w:w="43" w:type="dxa"/>
            </w:tcMar>
            <w:hideMark/>
          </w:tcPr>
          <w:p w14:paraId="3BC4853D" w14:textId="77777777" w:rsidR="00AE206D" w:rsidRDefault="00AE206D" w:rsidP="00282A37">
            <w:pPr>
              <w:widowControl w:val="0"/>
              <w:spacing w:after="0"/>
            </w:pPr>
            <w:r>
              <w:t>&gt; 2 MOA’s</w:t>
            </w:r>
          </w:p>
        </w:tc>
        <w:tc>
          <w:tcPr>
            <w:tcW w:w="2533" w:type="dxa"/>
            <w:tcBorders>
              <w:top w:val="single" w:sz="18" w:space="0" w:color="000000"/>
              <w:left w:val="single" w:sz="4" w:space="0" w:color="auto"/>
              <w:bottom w:val="single" w:sz="4" w:space="0" w:color="auto"/>
              <w:right w:val="single" w:sz="4" w:space="0" w:color="auto"/>
            </w:tcBorders>
            <w:tcMar>
              <w:top w:w="43" w:type="dxa"/>
              <w:left w:w="43" w:type="dxa"/>
              <w:bottom w:w="43" w:type="dxa"/>
              <w:right w:w="43" w:type="dxa"/>
            </w:tcMar>
            <w:hideMark/>
          </w:tcPr>
          <w:p w14:paraId="7D3842DB" w14:textId="77777777" w:rsidR="00AE206D" w:rsidRDefault="00AE206D" w:rsidP="00282A37">
            <w:pPr>
              <w:widowControl w:val="0"/>
              <w:spacing w:after="0"/>
            </w:pPr>
            <w:r>
              <w:t>2 MOA’s</w:t>
            </w:r>
          </w:p>
        </w:tc>
        <w:tc>
          <w:tcPr>
            <w:tcW w:w="1800" w:type="dxa"/>
            <w:tcBorders>
              <w:top w:val="single" w:sz="18" w:space="0" w:color="000000"/>
              <w:left w:val="single" w:sz="4" w:space="0" w:color="auto"/>
              <w:bottom w:val="single" w:sz="4" w:space="0" w:color="auto"/>
              <w:right w:val="single" w:sz="4" w:space="0" w:color="auto"/>
            </w:tcBorders>
            <w:tcMar>
              <w:top w:w="43" w:type="dxa"/>
              <w:left w:w="43" w:type="dxa"/>
              <w:bottom w:w="43" w:type="dxa"/>
              <w:right w:w="43" w:type="dxa"/>
            </w:tcMar>
            <w:hideMark/>
          </w:tcPr>
          <w:p w14:paraId="7269D99F" w14:textId="77777777" w:rsidR="00AE206D" w:rsidRDefault="00AE206D" w:rsidP="00282A37">
            <w:pPr>
              <w:widowControl w:val="0"/>
              <w:spacing w:after="0"/>
            </w:pPr>
            <w:r>
              <w:t>1 MOA</w:t>
            </w:r>
          </w:p>
        </w:tc>
      </w:tr>
      <w:tr w:rsidR="00AE206D" w14:paraId="06A5123C" w14:textId="77777777" w:rsidTr="00F31B3D">
        <w:trPr>
          <w:cantSplit/>
        </w:trPr>
        <w:tc>
          <w:tcPr>
            <w:tcW w:w="315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CB405D4" w14:textId="77777777" w:rsidR="00AE206D" w:rsidRDefault="00AE206D" w:rsidP="00282A37">
            <w:pPr>
              <w:widowControl w:val="0"/>
              <w:spacing w:after="0"/>
            </w:pPr>
            <w:r>
              <w:t>Weed control</w:t>
            </w:r>
          </w:p>
        </w:tc>
        <w:tc>
          <w:tcPr>
            <w:tcW w:w="243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315063CB" w14:textId="77777777" w:rsidR="00AE206D" w:rsidRDefault="00AE206D" w:rsidP="00282A37">
            <w:pPr>
              <w:widowControl w:val="0"/>
              <w:spacing w:after="0"/>
            </w:pPr>
            <w:r>
              <w:t>Cultural*, mechanical, and chemical</w:t>
            </w:r>
          </w:p>
        </w:tc>
        <w:tc>
          <w:tcPr>
            <w:tcW w:w="2533"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74112B0D" w14:textId="77777777" w:rsidR="00AE206D" w:rsidRDefault="00AE206D" w:rsidP="00282A37">
            <w:pPr>
              <w:widowControl w:val="0"/>
              <w:spacing w:after="0"/>
            </w:pPr>
            <w:r>
              <w:t>Cultural and chemical</w:t>
            </w:r>
          </w:p>
        </w:tc>
        <w:tc>
          <w:tcPr>
            <w:tcW w:w="180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51AD766D" w14:textId="77777777" w:rsidR="00AE206D" w:rsidRDefault="00AE206D" w:rsidP="00282A37">
            <w:pPr>
              <w:widowControl w:val="0"/>
              <w:spacing w:after="0"/>
            </w:pPr>
            <w:r>
              <w:t>Chemical only</w:t>
            </w:r>
          </w:p>
        </w:tc>
      </w:tr>
      <w:tr w:rsidR="00AE206D" w14:paraId="65B85FB4" w14:textId="77777777" w:rsidTr="00F31B3D">
        <w:trPr>
          <w:cantSplit/>
        </w:trPr>
        <w:tc>
          <w:tcPr>
            <w:tcW w:w="315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05B94B16" w14:textId="77777777" w:rsidR="00AE206D" w:rsidRDefault="00AE206D" w:rsidP="00282A37">
            <w:pPr>
              <w:widowControl w:val="0"/>
              <w:spacing w:after="0"/>
            </w:pPr>
            <w:r>
              <w:t>Using same MOA per season</w:t>
            </w:r>
          </w:p>
        </w:tc>
        <w:tc>
          <w:tcPr>
            <w:tcW w:w="243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308242D1" w14:textId="77777777" w:rsidR="00AE206D" w:rsidRDefault="00AE206D" w:rsidP="00282A37">
            <w:pPr>
              <w:widowControl w:val="0"/>
              <w:spacing w:after="0"/>
            </w:pPr>
            <w:r>
              <w:t>Once</w:t>
            </w:r>
          </w:p>
        </w:tc>
        <w:tc>
          <w:tcPr>
            <w:tcW w:w="2533"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104A0BC5" w14:textId="77777777" w:rsidR="00AE206D" w:rsidRDefault="00AE206D" w:rsidP="00282A37">
            <w:pPr>
              <w:widowControl w:val="0"/>
              <w:spacing w:after="0"/>
            </w:pPr>
            <w:r>
              <w:t>More than once</w:t>
            </w:r>
          </w:p>
        </w:tc>
        <w:tc>
          <w:tcPr>
            <w:tcW w:w="180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03B22EC1" w14:textId="77777777" w:rsidR="00AE206D" w:rsidRDefault="00AE206D" w:rsidP="00282A37">
            <w:pPr>
              <w:widowControl w:val="0"/>
              <w:spacing w:after="0"/>
            </w:pPr>
            <w:r>
              <w:t>Many times</w:t>
            </w:r>
          </w:p>
        </w:tc>
      </w:tr>
      <w:tr w:rsidR="00AE206D" w14:paraId="196D5E2B" w14:textId="77777777" w:rsidTr="00F31B3D">
        <w:trPr>
          <w:cantSplit/>
        </w:trPr>
        <w:tc>
          <w:tcPr>
            <w:tcW w:w="315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6D3C6211" w14:textId="77777777" w:rsidR="00AE206D" w:rsidRDefault="00AE206D" w:rsidP="00282A37">
            <w:pPr>
              <w:widowControl w:val="0"/>
              <w:spacing w:after="0"/>
            </w:pPr>
            <w:r>
              <w:t>Cropping system</w:t>
            </w:r>
          </w:p>
        </w:tc>
        <w:tc>
          <w:tcPr>
            <w:tcW w:w="243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08B12AC" w14:textId="77777777" w:rsidR="00AE206D" w:rsidRDefault="00AE206D" w:rsidP="00282A37">
            <w:pPr>
              <w:widowControl w:val="0"/>
              <w:spacing w:after="0"/>
            </w:pPr>
            <w:r>
              <w:t>Full rotation</w:t>
            </w:r>
          </w:p>
        </w:tc>
        <w:tc>
          <w:tcPr>
            <w:tcW w:w="2533"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32582AED" w14:textId="77777777" w:rsidR="00AE206D" w:rsidRDefault="00AE206D" w:rsidP="00282A37">
            <w:pPr>
              <w:widowControl w:val="0"/>
              <w:spacing w:after="0"/>
            </w:pPr>
            <w:r>
              <w:t>Limited rotation</w:t>
            </w:r>
          </w:p>
        </w:tc>
        <w:tc>
          <w:tcPr>
            <w:tcW w:w="180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7B7382C9" w14:textId="77777777" w:rsidR="00AE206D" w:rsidRDefault="00AE206D" w:rsidP="00282A37">
            <w:pPr>
              <w:widowControl w:val="0"/>
              <w:spacing w:after="0"/>
            </w:pPr>
            <w:r>
              <w:t>No rotation</w:t>
            </w:r>
          </w:p>
        </w:tc>
      </w:tr>
      <w:tr w:rsidR="00AE206D" w14:paraId="03D981F9" w14:textId="77777777" w:rsidTr="00F31B3D">
        <w:trPr>
          <w:cantSplit/>
        </w:trPr>
        <w:tc>
          <w:tcPr>
            <w:tcW w:w="315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13C268EC" w14:textId="77777777" w:rsidR="00AE206D" w:rsidRDefault="00AE206D" w:rsidP="00282A37">
            <w:pPr>
              <w:widowControl w:val="0"/>
              <w:spacing w:after="0"/>
            </w:pPr>
            <w:r>
              <w:t>Resistance status to MOA</w:t>
            </w:r>
          </w:p>
        </w:tc>
        <w:tc>
          <w:tcPr>
            <w:tcW w:w="243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243FDC49" w14:textId="77777777" w:rsidR="00AE206D" w:rsidRDefault="00AE206D" w:rsidP="00282A37">
            <w:pPr>
              <w:widowControl w:val="0"/>
              <w:spacing w:after="0"/>
            </w:pPr>
            <w:r>
              <w:t>Unknown</w:t>
            </w:r>
          </w:p>
        </w:tc>
        <w:tc>
          <w:tcPr>
            <w:tcW w:w="2533"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0F298FD" w14:textId="77777777" w:rsidR="00AE206D" w:rsidRDefault="00AE206D" w:rsidP="00282A37">
            <w:pPr>
              <w:widowControl w:val="0"/>
              <w:spacing w:after="0"/>
            </w:pPr>
            <w:r>
              <w:t>Limited</w:t>
            </w:r>
          </w:p>
        </w:tc>
        <w:tc>
          <w:tcPr>
            <w:tcW w:w="180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35E3EBCA" w14:textId="77777777" w:rsidR="00AE206D" w:rsidRDefault="00AE206D" w:rsidP="00282A37">
            <w:pPr>
              <w:widowControl w:val="0"/>
              <w:spacing w:after="0"/>
            </w:pPr>
            <w:r>
              <w:t>Common</w:t>
            </w:r>
          </w:p>
        </w:tc>
      </w:tr>
      <w:tr w:rsidR="00AE206D" w14:paraId="0E1EBD19" w14:textId="77777777" w:rsidTr="00F31B3D">
        <w:trPr>
          <w:cantSplit/>
        </w:trPr>
        <w:tc>
          <w:tcPr>
            <w:tcW w:w="315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A5BDBEA" w14:textId="77777777" w:rsidR="00AE206D" w:rsidRDefault="00AE206D" w:rsidP="00282A37">
            <w:pPr>
              <w:widowControl w:val="0"/>
              <w:spacing w:after="0"/>
            </w:pPr>
            <w:r>
              <w:t>Weed infestation</w:t>
            </w:r>
          </w:p>
        </w:tc>
        <w:tc>
          <w:tcPr>
            <w:tcW w:w="243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1106B29" w14:textId="77777777" w:rsidR="00AE206D" w:rsidRDefault="00AE206D" w:rsidP="00282A37">
            <w:pPr>
              <w:widowControl w:val="0"/>
              <w:spacing w:after="0"/>
            </w:pPr>
            <w:r>
              <w:t>Low</w:t>
            </w:r>
          </w:p>
        </w:tc>
        <w:tc>
          <w:tcPr>
            <w:tcW w:w="2533"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2DEBE4DA" w14:textId="77777777" w:rsidR="00AE206D" w:rsidRDefault="00AE206D" w:rsidP="00282A37">
            <w:pPr>
              <w:widowControl w:val="0"/>
              <w:spacing w:after="0"/>
            </w:pPr>
            <w:r>
              <w:t>Moderate</w:t>
            </w:r>
          </w:p>
        </w:tc>
        <w:tc>
          <w:tcPr>
            <w:tcW w:w="1800" w:type="dxa"/>
            <w:tcBorders>
              <w:top w:val="single" w:sz="4" w:space="0" w:color="auto"/>
              <w:left w:val="single" w:sz="4" w:space="0" w:color="auto"/>
              <w:bottom w:val="single" w:sz="4" w:space="0" w:color="auto"/>
              <w:right w:val="single" w:sz="4" w:space="0" w:color="auto"/>
            </w:tcBorders>
            <w:tcMar>
              <w:top w:w="43" w:type="dxa"/>
              <w:left w:w="43" w:type="dxa"/>
              <w:bottom w:w="43" w:type="dxa"/>
              <w:right w:w="43" w:type="dxa"/>
            </w:tcMar>
            <w:hideMark/>
          </w:tcPr>
          <w:p w14:paraId="4DB75AAF" w14:textId="77777777" w:rsidR="00AE206D" w:rsidRDefault="00AE206D" w:rsidP="00282A37">
            <w:pPr>
              <w:widowControl w:val="0"/>
              <w:spacing w:after="0"/>
            </w:pPr>
            <w:r>
              <w:t>High</w:t>
            </w:r>
          </w:p>
        </w:tc>
      </w:tr>
      <w:tr w:rsidR="00AE206D" w14:paraId="3C878D86" w14:textId="77777777" w:rsidTr="00F31B3D">
        <w:trPr>
          <w:cantSplit/>
        </w:trPr>
        <w:tc>
          <w:tcPr>
            <w:tcW w:w="3150" w:type="dxa"/>
            <w:tcBorders>
              <w:top w:val="single" w:sz="4" w:space="0" w:color="auto"/>
              <w:left w:val="single" w:sz="4" w:space="0" w:color="auto"/>
              <w:bottom w:val="single" w:sz="18" w:space="0" w:color="000000"/>
              <w:right w:val="single" w:sz="4" w:space="0" w:color="auto"/>
            </w:tcBorders>
            <w:tcMar>
              <w:top w:w="43" w:type="dxa"/>
              <w:left w:w="43" w:type="dxa"/>
              <w:bottom w:w="43" w:type="dxa"/>
              <w:right w:w="43" w:type="dxa"/>
            </w:tcMar>
            <w:hideMark/>
          </w:tcPr>
          <w:p w14:paraId="4C493389" w14:textId="77777777" w:rsidR="00AE206D" w:rsidRDefault="00AE206D" w:rsidP="00282A37">
            <w:pPr>
              <w:widowControl w:val="0"/>
              <w:spacing w:after="0"/>
            </w:pPr>
            <w:r>
              <w:t>Control in last 3 years</w:t>
            </w:r>
          </w:p>
        </w:tc>
        <w:tc>
          <w:tcPr>
            <w:tcW w:w="2430" w:type="dxa"/>
            <w:tcBorders>
              <w:top w:val="single" w:sz="4" w:space="0" w:color="auto"/>
              <w:left w:val="single" w:sz="4" w:space="0" w:color="auto"/>
              <w:bottom w:val="single" w:sz="18" w:space="0" w:color="000000"/>
              <w:right w:val="single" w:sz="4" w:space="0" w:color="auto"/>
            </w:tcBorders>
            <w:tcMar>
              <w:top w:w="43" w:type="dxa"/>
              <w:left w:w="43" w:type="dxa"/>
              <w:bottom w:w="43" w:type="dxa"/>
              <w:right w:w="43" w:type="dxa"/>
            </w:tcMar>
            <w:hideMark/>
          </w:tcPr>
          <w:p w14:paraId="2F4AE53D" w14:textId="77777777" w:rsidR="00AE206D" w:rsidRDefault="00AE206D" w:rsidP="00282A37">
            <w:pPr>
              <w:widowControl w:val="0"/>
              <w:spacing w:after="0"/>
            </w:pPr>
            <w:r>
              <w:t>Good</w:t>
            </w:r>
          </w:p>
        </w:tc>
        <w:tc>
          <w:tcPr>
            <w:tcW w:w="2533" w:type="dxa"/>
            <w:tcBorders>
              <w:top w:val="single" w:sz="4" w:space="0" w:color="auto"/>
              <w:left w:val="single" w:sz="4" w:space="0" w:color="auto"/>
              <w:bottom w:val="single" w:sz="18" w:space="0" w:color="000000"/>
              <w:right w:val="single" w:sz="4" w:space="0" w:color="auto"/>
            </w:tcBorders>
            <w:tcMar>
              <w:top w:w="43" w:type="dxa"/>
              <w:left w:w="43" w:type="dxa"/>
              <w:bottom w:w="43" w:type="dxa"/>
              <w:right w:w="43" w:type="dxa"/>
            </w:tcMar>
            <w:hideMark/>
          </w:tcPr>
          <w:p w14:paraId="67492029" w14:textId="77777777" w:rsidR="00AE206D" w:rsidRDefault="00AE206D" w:rsidP="00282A37">
            <w:pPr>
              <w:widowControl w:val="0"/>
              <w:spacing w:after="0"/>
            </w:pPr>
            <w:r>
              <w:t>Declining</w:t>
            </w:r>
          </w:p>
        </w:tc>
        <w:tc>
          <w:tcPr>
            <w:tcW w:w="1800" w:type="dxa"/>
            <w:tcBorders>
              <w:top w:val="single" w:sz="4" w:space="0" w:color="auto"/>
              <w:left w:val="single" w:sz="4" w:space="0" w:color="auto"/>
              <w:bottom w:val="single" w:sz="18" w:space="0" w:color="000000"/>
              <w:right w:val="single" w:sz="4" w:space="0" w:color="auto"/>
            </w:tcBorders>
            <w:tcMar>
              <w:top w:w="43" w:type="dxa"/>
              <w:left w:w="43" w:type="dxa"/>
              <w:bottom w:w="43" w:type="dxa"/>
              <w:right w:w="43" w:type="dxa"/>
            </w:tcMar>
            <w:hideMark/>
          </w:tcPr>
          <w:p w14:paraId="7B63BE46" w14:textId="77777777" w:rsidR="00AE206D" w:rsidRDefault="00AE206D" w:rsidP="00282A37">
            <w:pPr>
              <w:widowControl w:val="0"/>
              <w:spacing w:after="0"/>
            </w:pPr>
            <w:r>
              <w:t>Poor</w:t>
            </w:r>
          </w:p>
        </w:tc>
      </w:tr>
      <w:tr w:rsidR="00AE206D" w14:paraId="746850DD" w14:textId="77777777" w:rsidTr="00F31B3D">
        <w:trPr>
          <w:cantSplit/>
        </w:trPr>
        <w:tc>
          <w:tcPr>
            <w:tcW w:w="9913" w:type="dxa"/>
            <w:gridSpan w:val="4"/>
            <w:tcBorders>
              <w:top w:val="single" w:sz="18" w:space="0" w:color="000000"/>
              <w:left w:val="single" w:sz="4" w:space="0" w:color="auto"/>
              <w:bottom w:val="single" w:sz="4" w:space="0" w:color="auto"/>
              <w:right w:val="single" w:sz="4" w:space="0" w:color="auto"/>
            </w:tcBorders>
            <w:tcMar>
              <w:top w:w="43" w:type="dxa"/>
              <w:left w:w="43" w:type="dxa"/>
              <w:bottom w:w="43" w:type="dxa"/>
              <w:right w:w="43" w:type="dxa"/>
            </w:tcMar>
            <w:hideMark/>
          </w:tcPr>
          <w:p w14:paraId="1BCF226C" w14:textId="364F15B0" w:rsidR="00AE206D" w:rsidRDefault="00AE206D" w:rsidP="00282A37">
            <w:pPr>
              <w:widowControl w:val="0"/>
              <w:spacing w:after="0"/>
            </w:pPr>
            <w:r>
              <w:t xml:space="preserve">*Control can be by cultivation, stubble burning, </w:t>
            </w:r>
            <w:r w:rsidR="00F45353">
              <w:t xml:space="preserve">HWSC, </w:t>
            </w:r>
            <w:r>
              <w:t>competitive crops, stale seedbeds, etc</w:t>
            </w:r>
            <w:r w:rsidR="00F45353">
              <w:t>.</w:t>
            </w:r>
          </w:p>
        </w:tc>
      </w:tr>
    </w:tbl>
    <w:p w14:paraId="20B8BF86" w14:textId="77777777" w:rsidR="004D2492" w:rsidRDefault="004D2492" w:rsidP="00497FD5">
      <w:pPr>
        <w:widowControl w:val="0"/>
        <w:rPr>
          <w:i/>
          <w:sz w:val="20"/>
          <w:szCs w:val="20"/>
        </w:rPr>
      </w:pPr>
    </w:p>
    <w:p w14:paraId="6A45DA6F" w14:textId="37BB1F9E" w:rsidR="00C15393" w:rsidRPr="003D4B53" w:rsidRDefault="00D632EA" w:rsidP="00497FD5">
      <w:pPr>
        <w:widowControl w:val="0"/>
        <w:rPr>
          <w:i/>
          <w:sz w:val="20"/>
          <w:szCs w:val="20"/>
        </w:rPr>
      </w:pPr>
      <w:r w:rsidRPr="003D4B53">
        <w:rPr>
          <w:i/>
          <w:sz w:val="20"/>
          <w:szCs w:val="20"/>
        </w:rPr>
        <w:t>Composed</w:t>
      </w:r>
      <w:r w:rsidR="00AE206D" w:rsidRPr="003D4B53">
        <w:rPr>
          <w:i/>
          <w:sz w:val="20"/>
          <w:szCs w:val="20"/>
        </w:rPr>
        <w:t xml:space="preserve"> by Larry G. Heatherly, </w:t>
      </w:r>
      <w:r w:rsidRPr="003D4B53">
        <w:rPr>
          <w:i/>
          <w:sz w:val="20"/>
          <w:szCs w:val="20"/>
        </w:rPr>
        <w:t xml:space="preserve">Revised </w:t>
      </w:r>
      <w:r w:rsidR="00FF47B2">
        <w:rPr>
          <w:i/>
          <w:sz w:val="20"/>
          <w:szCs w:val="20"/>
        </w:rPr>
        <w:t>Jan. 2025</w:t>
      </w:r>
      <w:r w:rsidR="00AE206D" w:rsidRPr="003D4B53">
        <w:rPr>
          <w:i/>
          <w:sz w:val="20"/>
          <w:szCs w:val="20"/>
        </w:rPr>
        <w:t xml:space="preserve">, </w:t>
      </w:r>
      <w:hyperlink r:id="rId18" w:history="1">
        <w:r w:rsidR="003D4B53" w:rsidRPr="00C350A0">
          <w:rPr>
            <w:rStyle w:val="Hyperlink"/>
            <w:rFonts w:ascii="Cambria" w:hAnsi="Cambria"/>
            <w:i/>
            <w:sz w:val="20"/>
            <w:szCs w:val="20"/>
          </w:rPr>
          <w:t>larryh91746@gmail.com</w:t>
        </w:r>
      </w:hyperlink>
      <w:r w:rsidR="003D4B53">
        <w:rPr>
          <w:i/>
          <w:sz w:val="20"/>
          <w:szCs w:val="20"/>
        </w:rPr>
        <w:t xml:space="preserve"> </w:t>
      </w:r>
    </w:p>
    <w:sectPr w:rsidR="00C15393" w:rsidRPr="003D4B53" w:rsidSect="006A47DD">
      <w:type w:val="continuous"/>
      <w:pgSz w:w="12240" w:h="15840"/>
      <w:pgMar w:top="2880" w:right="1080" w:bottom="1080" w:left="108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9228" w14:textId="77777777" w:rsidR="002350ED" w:rsidRDefault="002350ED" w:rsidP="00B50AC4">
      <w:pPr>
        <w:spacing w:after="0"/>
      </w:pPr>
      <w:r>
        <w:separator/>
      </w:r>
    </w:p>
  </w:endnote>
  <w:endnote w:type="continuationSeparator" w:id="0">
    <w:p w14:paraId="08DFED0C" w14:textId="77777777" w:rsidR="002350ED" w:rsidRDefault="002350ED"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TypographicSymbols">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5C3C" w14:textId="4ACF5817" w:rsidR="00275E30" w:rsidRDefault="00275E30" w:rsidP="003D4B53">
    <w:pPr>
      <w:pStyle w:val="Footer"/>
    </w:pPr>
  </w:p>
  <w:p w14:paraId="24012597" w14:textId="77777777" w:rsidR="00275E30" w:rsidRDefault="0027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84889" w14:textId="77777777" w:rsidR="002350ED" w:rsidRDefault="002350ED" w:rsidP="00B50AC4">
      <w:pPr>
        <w:spacing w:after="0"/>
      </w:pPr>
      <w:r>
        <w:separator/>
      </w:r>
    </w:p>
  </w:footnote>
  <w:footnote w:type="continuationSeparator" w:id="0">
    <w:p w14:paraId="41D208FD" w14:textId="77777777" w:rsidR="002350ED" w:rsidRDefault="002350ED"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F1EE" w14:textId="77777777" w:rsidR="007A2A5D" w:rsidRDefault="00B46CF5">
    <w:pPr>
      <w:pStyle w:val="Header"/>
    </w:pPr>
    <w:r>
      <w:rPr>
        <w:noProof/>
        <w:lang w:eastAsia="en-US"/>
      </w:rPr>
      <w:drawing>
        <wp:anchor distT="0" distB="0" distL="114300" distR="114300" simplePos="0" relativeHeight="251657728" behindDoc="1" locked="0" layoutInCell="1" allowOverlap="1" wp14:anchorId="3FDA447A" wp14:editId="3381C0E1">
          <wp:simplePos x="0" y="0"/>
          <wp:positionH relativeFrom="margin">
            <wp:align>center</wp:align>
          </wp:positionH>
          <wp:positionV relativeFrom="paragraph">
            <wp:posOffset>5715</wp:posOffset>
          </wp:positionV>
          <wp:extent cx="6858000" cy="175958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ind w:left="0" w:firstLine="0"/>
      </w:pPr>
      <w:rPr>
        <w:rFonts w:ascii="WP TypographicSymbols" w:hAnsi="WP TypographicSymbols"/>
      </w:rPr>
    </w:lvl>
    <w:lvl w:ilvl="1">
      <w:start w:val="1"/>
      <w:numFmt w:val="none"/>
      <w:suff w:val="nothing"/>
      <w:lvlText w:val="!"/>
      <w:lvlJc w:val="left"/>
      <w:pPr>
        <w:ind w:left="0" w:firstLine="0"/>
      </w:pPr>
      <w:rPr>
        <w:rFonts w:ascii="WP TypographicSymbols" w:hAnsi="WP TypographicSymbols"/>
      </w:rPr>
    </w:lvl>
    <w:lvl w:ilvl="2">
      <w:start w:val="1"/>
      <w:numFmt w:val="none"/>
      <w:suff w:val="nothing"/>
      <w:lvlText w:val="!"/>
      <w:lvlJc w:val="left"/>
      <w:pPr>
        <w:ind w:left="0" w:firstLine="0"/>
      </w:pPr>
      <w:rPr>
        <w:rFonts w:ascii="WP TypographicSymbols" w:hAnsi="WP TypographicSymbols"/>
      </w:rPr>
    </w:lvl>
    <w:lvl w:ilvl="3">
      <w:start w:val="1"/>
      <w:numFmt w:val="none"/>
      <w:suff w:val="nothing"/>
      <w:lvlText w:val="!"/>
      <w:lvlJc w:val="left"/>
      <w:pPr>
        <w:ind w:left="0" w:firstLine="0"/>
      </w:pPr>
      <w:rPr>
        <w:rFonts w:ascii="WP TypographicSymbols" w:hAnsi="WP TypographicSymbols"/>
      </w:rPr>
    </w:lvl>
    <w:lvl w:ilvl="4">
      <w:start w:val="1"/>
      <w:numFmt w:val="none"/>
      <w:suff w:val="nothing"/>
      <w:lvlText w:val="!"/>
      <w:lvlJc w:val="left"/>
      <w:pPr>
        <w:ind w:left="0" w:firstLine="0"/>
      </w:pPr>
      <w:rPr>
        <w:rFonts w:ascii="WP TypographicSymbols" w:hAnsi="WP TypographicSymbols"/>
      </w:rPr>
    </w:lvl>
    <w:lvl w:ilvl="5">
      <w:start w:val="1"/>
      <w:numFmt w:val="none"/>
      <w:suff w:val="nothing"/>
      <w:lvlText w:val="!"/>
      <w:lvlJc w:val="left"/>
      <w:pPr>
        <w:ind w:left="0" w:firstLine="0"/>
      </w:pPr>
      <w:rPr>
        <w:rFonts w:ascii="WP TypographicSymbols" w:hAnsi="WP TypographicSymbols"/>
      </w:rPr>
    </w:lvl>
    <w:lvl w:ilvl="6">
      <w:start w:val="1"/>
      <w:numFmt w:val="none"/>
      <w:suff w:val="nothing"/>
      <w:lvlText w:val="!"/>
      <w:lvlJc w:val="left"/>
      <w:pPr>
        <w:ind w:left="0" w:firstLine="0"/>
      </w:pPr>
      <w:rPr>
        <w:rFonts w:ascii="WP TypographicSymbols" w:hAnsi="WP TypographicSymbols"/>
      </w:rPr>
    </w:lvl>
    <w:lvl w:ilvl="7">
      <w:start w:val="1"/>
      <w:numFmt w:val="none"/>
      <w:suff w:val="nothing"/>
      <w:lvlText w:val="!"/>
      <w:lvlJc w:val="left"/>
      <w:pPr>
        <w:ind w:left="0" w:firstLine="0"/>
      </w:pPr>
      <w:rPr>
        <w:rFonts w:ascii="WP TypographicSymbols" w:hAnsi="WP TypographicSymbols"/>
      </w:rPr>
    </w:lvl>
    <w:lvl w:ilvl="8">
      <w:start w:val="1"/>
      <w:numFmt w:val="none"/>
      <w:suff w:val="nothing"/>
      <w:lvlText w:val="!"/>
      <w:lvlJc w:val="left"/>
      <w:pPr>
        <w:ind w:left="0" w:firstLine="0"/>
      </w:pPr>
      <w:rPr>
        <w:rFonts w:ascii="WP TypographicSymbols" w:hAnsi="WP TypographicSymbols"/>
      </w:rPr>
    </w:lvl>
  </w:abstractNum>
  <w:abstractNum w:abstractNumId="1" w15:restartNumberingAfterBreak="0">
    <w:nsid w:val="3DD01812"/>
    <w:multiLevelType w:val="hybridMultilevel"/>
    <w:tmpl w:val="6326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E5045E"/>
    <w:multiLevelType w:val="hybridMultilevel"/>
    <w:tmpl w:val="75E4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3522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6812112">
    <w:abstractNumId w:val="1"/>
  </w:num>
  <w:num w:numId="3" w16cid:durableId="1062828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C4"/>
    <w:rsid w:val="00011197"/>
    <w:rsid w:val="00013432"/>
    <w:rsid w:val="0003019E"/>
    <w:rsid w:val="00096BAF"/>
    <w:rsid w:val="000A0127"/>
    <w:rsid w:val="000A3ABB"/>
    <w:rsid w:val="000B5B85"/>
    <w:rsid w:val="000C4958"/>
    <w:rsid w:val="000E4B74"/>
    <w:rsid w:val="00106796"/>
    <w:rsid w:val="001227DA"/>
    <w:rsid w:val="00123001"/>
    <w:rsid w:val="00125D2E"/>
    <w:rsid w:val="001442F5"/>
    <w:rsid w:val="00152422"/>
    <w:rsid w:val="00153743"/>
    <w:rsid w:val="00176B35"/>
    <w:rsid w:val="001A763C"/>
    <w:rsid w:val="001B5C92"/>
    <w:rsid w:val="001D7C33"/>
    <w:rsid w:val="0021284F"/>
    <w:rsid w:val="002350ED"/>
    <w:rsid w:val="00237A4A"/>
    <w:rsid w:val="00251936"/>
    <w:rsid w:val="00253873"/>
    <w:rsid w:val="00275E30"/>
    <w:rsid w:val="00282A37"/>
    <w:rsid w:val="002B7450"/>
    <w:rsid w:val="002D4666"/>
    <w:rsid w:val="002D5D75"/>
    <w:rsid w:val="00302A3F"/>
    <w:rsid w:val="00307CB1"/>
    <w:rsid w:val="00331671"/>
    <w:rsid w:val="003469CE"/>
    <w:rsid w:val="00384D20"/>
    <w:rsid w:val="00396904"/>
    <w:rsid w:val="003A21B4"/>
    <w:rsid w:val="003A6D49"/>
    <w:rsid w:val="003B4B1A"/>
    <w:rsid w:val="003D4B53"/>
    <w:rsid w:val="003E4A1C"/>
    <w:rsid w:val="003E591A"/>
    <w:rsid w:val="003E7D4F"/>
    <w:rsid w:val="00406E68"/>
    <w:rsid w:val="0042213D"/>
    <w:rsid w:val="004231F7"/>
    <w:rsid w:val="00457A47"/>
    <w:rsid w:val="004834AE"/>
    <w:rsid w:val="0048382F"/>
    <w:rsid w:val="00484D4C"/>
    <w:rsid w:val="00486E62"/>
    <w:rsid w:val="0049423F"/>
    <w:rsid w:val="00497FD5"/>
    <w:rsid w:val="004B36EA"/>
    <w:rsid w:val="004C3036"/>
    <w:rsid w:val="004D2492"/>
    <w:rsid w:val="0050702E"/>
    <w:rsid w:val="00535EB1"/>
    <w:rsid w:val="00543B22"/>
    <w:rsid w:val="00556040"/>
    <w:rsid w:val="00577234"/>
    <w:rsid w:val="005866AD"/>
    <w:rsid w:val="00612DCA"/>
    <w:rsid w:val="00615F2F"/>
    <w:rsid w:val="00632119"/>
    <w:rsid w:val="00633C68"/>
    <w:rsid w:val="006A47DD"/>
    <w:rsid w:val="006B6A3E"/>
    <w:rsid w:val="006C3BC3"/>
    <w:rsid w:val="006C7357"/>
    <w:rsid w:val="006F745F"/>
    <w:rsid w:val="0070334B"/>
    <w:rsid w:val="0071467A"/>
    <w:rsid w:val="00715F73"/>
    <w:rsid w:val="00745D5F"/>
    <w:rsid w:val="00760F6D"/>
    <w:rsid w:val="00783754"/>
    <w:rsid w:val="00797E8C"/>
    <w:rsid w:val="007A2A5D"/>
    <w:rsid w:val="007B2B1B"/>
    <w:rsid w:val="007B7B3D"/>
    <w:rsid w:val="007E34EC"/>
    <w:rsid w:val="007F62B2"/>
    <w:rsid w:val="007F7360"/>
    <w:rsid w:val="008177F7"/>
    <w:rsid w:val="00821CF5"/>
    <w:rsid w:val="0085758D"/>
    <w:rsid w:val="00870D4F"/>
    <w:rsid w:val="00871012"/>
    <w:rsid w:val="008A4710"/>
    <w:rsid w:val="008D65CF"/>
    <w:rsid w:val="00907455"/>
    <w:rsid w:val="009678CF"/>
    <w:rsid w:val="009A7A9C"/>
    <w:rsid w:val="009C1475"/>
    <w:rsid w:val="009D4CCE"/>
    <w:rsid w:val="00A11270"/>
    <w:rsid w:val="00A4369D"/>
    <w:rsid w:val="00A96152"/>
    <w:rsid w:val="00AA2655"/>
    <w:rsid w:val="00AD22FD"/>
    <w:rsid w:val="00AD49FC"/>
    <w:rsid w:val="00AE206D"/>
    <w:rsid w:val="00AE35AB"/>
    <w:rsid w:val="00B05AC0"/>
    <w:rsid w:val="00B10A99"/>
    <w:rsid w:val="00B10FCE"/>
    <w:rsid w:val="00B1497D"/>
    <w:rsid w:val="00B46CF5"/>
    <w:rsid w:val="00B50AC4"/>
    <w:rsid w:val="00B745E7"/>
    <w:rsid w:val="00B76001"/>
    <w:rsid w:val="00B9362A"/>
    <w:rsid w:val="00B93977"/>
    <w:rsid w:val="00BC3874"/>
    <w:rsid w:val="00BE6172"/>
    <w:rsid w:val="00BF196F"/>
    <w:rsid w:val="00C1172B"/>
    <w:rsid w:val="00C15393"/>
    <w:rsid w:val="00C36BF1"/>
    <w:rsid w:val="00C84F20"/>
    <w:rsid w:val="00C9789B"/>
    <w:rsid w:val="00CD71FC"/>
    <w:rsid w:val="00D151DF"/>
    <w:rsid w:val="00D40EBA"/>
    <w:rsid w:val="00D42DD9"/>
    <w:rsid w:val="00D5725E"/>
    <w:rsid w:val="00D632EA"/>
    <w:rsid w:val="00D83BC3"/>
    <w:rsid w:val="00D86E8B"/>
    <w:rsid w:val="00DB1823"/>
    <w:rsid w:val="00DD291B"/>
    <w:rsid w:val="00E042C7"/>
    <w:rsid w:val="00E4140A"/>
    <w:rsid w:val="00E42487"/>
    <w:rsid w:val="00E61519"/>
    <w:rsid w:val="00E720D8"/>
    <w:rsid w:val="00E7618D"/>
    <w:rsid w:val="00ED221B"/>
    <w:rsid w:val="00EE6AAB"/>
    <w:rsid w:val="00EF7B66"/>
    <w:rsid w:val="00F136CF"/>
    <w:rsid w:val="00F24D11"/>
    <w:rsid w:val="00F264AD"/>
    <w:rsid w:val="00F31B3D"/>
    <w:rsid w:val="00F34A3B"/>
    <w:rsid w:val="00F34F05"/>
    <w:rsid w:val="00F45353"/>
    <w:rsid w:val="00FB1836"/>
    <w:rsid w:val="00FB18D6"/>
    <w:rsid w:val="00FE0AE7"/>
    <w:rsid w:val="00FE5233"/>
    <w:rsid w:val="00FE6210"/>
    <w:rsid w:val="00FF201A"/>
    <w:rsid w:val="00FF47B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B7F1D"/>
  <w15:chartTrackingRefBased/>
  <w15:docId w15:val="{D3530F62-1941-412B-8A45-93ED0CF6C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AAB"/>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link w:val="BalloonText"/>
    <w:uiPriority w:val="99"/>
    <w:semiHidden/>
    <w:rsid w:val="00B50AC4"/>
    <w:rPr>
      <w:rFonts w:ascii="Lucida Grande" w:hAnsi="Lucida Grande"/>
      <w:sz w:val="18"/>
      <w:szCs w:val="18"/>
    </w:rPr>
  </w:style>
  <w:style w:type="character" w:styleId="Hyperlink">
    <w:name w:val="Hyperlink"/>
    <w:unhideWhenUsed/>
    <w:rsid w:val="00821CF5"/>
    <w:rPr>
      <w:rFonts w:ascii="Times New Roman" w:hAnsi="Times New Roman" w:cs="Times New Roman" w:hint="default"/>
      <w:color w:val="0000FF"/>
      <w:u w:val="single"/>
    </w:rPr>
  </w:style>
  <w:style w:type="paragraph" w:customStyle="1" w:styleId="Level1">
    <w:name w:val="Level 1"/>
    <w:basedOn w:val="Normal"/>
    <w:rsid w:val="00AE206D"/>
    <w:pPr>
      <w:widowControl w:val="0"/>
      <w:spacing w:after="0"/>
    </w:pPr>
    <w:rPr>
      <w:rFonts w:ascii="Times New Roman" w:eastAsia="Times New Roman" w:hAnsi="Times New Roman"/>
      <w:szCs w:val="20"/>
      <w:lang w:eastAsia="en-US"/>
    </w:rPr>
  </w:style>
  <w:style w:type="paragraph" w:styleId="ListParagraph">
    <w:name w:val="List Paragraph"/>
    <w:basedOn w:val="Normal"/>
    <w:uiPriority w:val="34"/>
    <w:qFormat/>
    <w:rsid w:val="00282A37"/>
    <w:pPr>
      <w:ind w:left="720"/>
    </w:pPr>
  </w:style>
  <w:style w:type="character" w:styleId="FollowedHyperlink">
    <w:name w:val="FollowedHyperlink"/>
    <w:uiPriority w:val="99"/>
    <w:semiHidden/>
    <w:unhideWhenUsed/>
    <w:rsid w:val="00EF7B66"/>
    <w:rPr>
      <w:color w:val="800080"/>
      <w:u w:val="single"/>
    </w:rPr>
  </w:style>
  <w:style w:type="character" w:styleId="UnresolvedMention">
    <w:name w:val="Unresolved Mention"/>
    <w:basedOn w:val="DefaultParagraphFont"/>
    <w:uiPriority w:val="99"/>
    <w:semiHidden/>
    <w:unhideWhenUsed/>
    <w:rsid w:val="00251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59102">
      <w:bodyDiv w:val="1"/>
      <w:marLeft w:val="0"/>
      <w:marRight w:val="0"/>
      <w:marTop w:val="0"/>
      <w:marBottom w:val="0"/>
      <w:divBdr>
        <w:top w:val="none" w:sz="0" w:space="0" w:color="auto"/>
        <w:left w:val="none" w:sz="0" w:space="0" w:color="auto"/>
        <w:bottom w:val="none" w:sz="0" w:space="0" w:color="auto"/>
        <w:right w:val="none" w:sz="0" w:space="0" w:color="auto"/>
      </w:divBdr>
    </w:div>
    <w:div w:id="331643463">
      <w:bodyDiv w:val="1"/>
      <w:marLeft w:val="0"/>
      <w:marRight w:val="0"/>
      <w:marTop w:val="0"/>
      <w:marBottom w:val="0"/>
      <w:divBdr>
        <w:top w:val="none" w:sz="0" w:space="0" w:color="auto"/>
        <w:left w:val="none" w:sz="0" w:space="0" w:color="auto"/>
        <w:bottom w:val="none" w:sz="0" w:space="0" w:color="auto"/>
        <w:right w:val="none" w:sz="0" w:space="0" w:color="auto"/>
      </w:divBdr>
    </w:div>
    <w:div w:id="198288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eedscience.org/Pages/SOADescription.aspx" TargetMode="External"/><Relationship Id="rId18" Type="http://schemas.openxmlformats.org/officeDocument/2006/relationships/hyperlink" Target="mailto:larryh91746@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eedscience.org/Pages/SOADescription.aspx" TargetMode="External"/><Relationship Id="rId17" Type="http://schemas.openxmlformats.org/officeDocument/2006/relationships/hyperlink" Target="https://www.cdms.net/ldat/ld7SN002.pdf" TargetMode="External"/><Relationship Id="rId2" Type="http://schemas.openxmlformats.org/officeDocument/2006/relationships/numbering" Target="numbering.xml"/><Relationship Id="rId16" Type="http://schemas.openxmlformats.org/officeDocument/2006/relationships/hyperlink" Target="https://www.cdms.net/ldat/ld0RJ004.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edscience.org/Pages/SOADescription.aspx" TargetMode="External"/><Relationship Id="rId5" Type="http://schemas.openxmlformats.org/officeDocument/2006/relationships/webSettings" Target="webSettings.xml"/><Relationship Id="rId15" Type="http://schemas.openxmlformats.org/officeDocument/2006/relationships/hyperlink" Target="https://cast-science.org/publication/herbicide-resistant-weeds-threaten-soil-conservation-gains-finding-a-balance-for-soil-and-farm-sustainability/" TargetMode="External"/><Relationship Id="rId10" Type="http://schemas.openxmlformats.org/officeDocument/2006/relationships/hyperlink" Target="http://weedscience.org/Home.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ssoy.org/resources/using-herbicide-moa-select-herbicides-mssoy-white-paper?tags=wee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9210C-8BBC-4614-A14E-61FF2D0C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8457</CharactersWithSpaces>
  <SharedDoc>false</SharedDoc>
  <HLinks>
    <vt:vector size="84" baseType="variant">
      <vt:variant>
        <vt:i4>262205</vt:i4>
      </vt:variant>
      <vt:variant>
        <vt:i4>38</vt:i4>
      </vt:variant>
      <vt:variant>
        <vt:i4>0</vt:i4>
      </vt:variant>
      <vt:variant>
        <vt:i4>5</vt:i4>
      </vt:variant>
      <vt:variant>
        <vt:lpwstr>mailto:larryheatherly@bellsouth.net</vt:lpwstr>
      </vt:variant>
      <vt:variant>
        <vt:lpwstr/>
      </vt:variant>
      <vt:variant>
        <vt:i4>4915204</vt:i4>
      </vt:variant>
      <vt:variant>
        <vt:i4>35</vt:i4>
      </vt:variant>
      <vt:variant>
        <vt:i4>0</vt:i4>
      </vt:variant>
      <vt:variant>
        <vt:i4>5</vt:i4>
      </vt:variant>
      <vt:variant>
        <vt:lpwstr>http://hracglobal.com/pages/managementofherbicideresistance.aspx</vt:lpwstr>
      </vt:variant>
      <vt:variant>
        <vt:lpwstr>risk</vt:lpwstr>
      </vt:variant>
      <vt:variant>
        <vt:i4>5111879</vt:i4>
      </vt:variant>
      <vt:variant>
        <vt:i4>32</vt:i4>
      </vt:variant>
      <vt:variant>
        <vt:i4>0</vt:i4>
      </vt:variant>
      <vt:variant>
        <vt:i4>5</vt:i4>
      </vt:variant>
      <vt:variant>
        <vt:lpwstr>http://takeactiononweeds.com/</vt:lpwstr>
      </vt:variant>
      <vt:variant>
        <vt:lpwstr/>
      </vt:variant>
      <vt:variant>
        <vt:i4>4653121</vt:i4>
      </vt:variant>
      <vt:variant>
        <vt:i4>29</vt:i4>
      </vt:variant>
      <vt:variant>
        <vt:i4>0</vt:i4>
      </vt:variant>
      <vt:variant>
        <vt:i4>5</vt:i4>
      </vt:variant>
      <vt:variant>
        <vt:lpwstr>http://www.valent.com/Data/Labels/2010-VXLT-0001 Valor XLT - form 1633-C.pdf</vt:lpwstr>
      </vt:variant>
      <vt:variant>
        <vt:lpwstr/>
      </vt:variant>
      <vt:variant>
        <vt:i4>1966106</vt:i4>
      </vt:variant>
      <vt:variant>
        <vt:i4>26</vt:i4>
      </vt:variant>
      <vt:variant>
        <vt:i4>0</vt:i4>
      </vt:variant>
      <vt:variant>
        <vt:i4>5</vt:i4>
      </vt:variant>
      <vt:variant>
        <vt:lpwstr>http://www.cdms.net/LDat/ld5UJ064.pdf</vt:lpwstr>
      </vt:variant>
      <vt:variant>
        <vt:lpwstr/>
      </vt:variant>
      <vt:variant>
        <vt:i4>2490480</vt:i4>
      </vt:variant>
      <vt:variant>
        <vt:i4>23</vt:i4>
      </vt:variant>
      <vt:variant>
        <vt:i4>0</vt:i4>
      </vt:variant>
      <vt:variant>
        <vt:i4>5</vt:i4>
      </vt:variant>
      <vt:variant>
        <vt:lpwstr>http://hracglobal.com/pages/classificationofherbicidesiteofaction.aspx</vt:lpwstr>
      </vt:variant>
      <vt:variant>
        <vt:lpwstr/>
      </vt:variant>
      <vt:variant>
        <vt:i4>1638480</vt:i4>
      </vt:variant>
      <vt:variant>
        <vt:i4>20</vt:i4>
      </vt:variant>
      <vt:variant>
        <vt:i4>0</vt:i4>
      </vt:variant>
      <vt:variant>
        <vt:i4>5</vt:i4>
      </vt:variant>
      <vt:variant>
        <vt:lpwstr>http://wssa.net/wp-content/uploads/HerbicideMOAClassification.pdf</vt:lpwstr>
      </vt:variant>
      <vt:variant>
        <vt:lpwstr/>
      </vt:variant>
      <vt:variant>
        <vt:i4>6553642</vt:i4>
      </vt:variant>
      <vt:variant>
        <vt:i4>17</vt:i4>
      </vt:variant>
      <vt:variant>
        <vt:i4>0</vt:i4>
      </vt:variant>
      <vt:variant>
        <vt:i4>5</vt:i4>
      </vt:variant>
      <vt:variant>
        <vt:lpwstr>http://mssoy.org/wp-content/uploads/2012/04/HERBICIDE-MOA-MAR.-2012.pdf</vt:lpwstr>
      </vt:variant>
      <vt:variant>
        <vt:lpwstr/>
      </vt:variant>
      <vt:variant>
        <vt:i4>1048612</vt:i4>
      </vt:variant>
      <vt:variant>
        <vt:i4>14</vt:i4>
      </vt:variant>
      <vt:variant>
        <vt:i4>0</vt:i4>
      </vt:variant>
      <vt:variant>
        <vt:i4>5</vt:i4>
      </vt:variant>
      <vt:variant>
        <vt:lpwstr>http://www.cast-science.org/publications/?herbicideresistant_weeds_threaten_soil_conservation_gains_finding_a_balance_for_soil_and_farm_sustainability&amp;show=product&amp;productID=52723http://www.cast-science.org/publications/</vt:lpwstr>
      </vt:variant>
      <vt:variant>
        <vt:lpwstr/>
      </vt:variant>
      <vt:variant>
        <vt:i4>6553642</vt:i4>
      </vt:variant>
      <vt:variant>
        <vt:i4>11</vt:i4>
      </vt:variant>
      <vt:variant>
        <vt:i4>0</vt:i4>
      </vt:variant>
      <vt:variant>
        <vt:i4>5</vt:i4>
      </vt:variant>
      <vt:variant>
        <vt:lpwstr>http://mssoy.org/wp-content/uploads/2012/04/HERBICIDE-MOA-MAR.-2012.pdf</vt:lpwstr>
      </vt:variant>
      <vt:variant>
        <vt:lpwstr/>
      </vt:variant>
      <vt:variant>
        <vt:i4>1900561</vt:i4>
      </vt:variant>
      <vt:variant>
        <vt:i4>8</vt:i4>
      </vt:variant>
      <vt:variant>
        <vt:i4>0</vt:i4>
      </vt:variant>
      <vt:variant>
        <vt:i4>5</vt:i4>
      </vt:variant>
      <vt:variant>
        <vt:lpwstr>http://wssa.net/2011/12/wssa-lesson-module-herbicide-resistant-weeds/</vt:lpwstr>
      </vt:variant>
      <vt:variant>
        <vt:lpwstr/>
      </vt:variant>
      <vt:variant>
        <vt:i4>1376335</vt:i4>
      </vt:variant>
      <vt:variant>
        <vt:i4>5</vt:i4>
      </vt:variant>
      <vt:variant>
        <vt:i4>0</vt:i4>
      </vt:variant>
      <vt:variant>
        <vt:i4>5</vt:i4>
      </vt:variant>
      <vt:variant>
        <vt:lpwstr>http://wssa.net/weed/resistance/</vt:lpwstr>
      </vt:variant>
      <vt:variant>
        <vt:lpwstr/>
      </vt:variant>
      <vt:variant>
        <vt:i4>196617</vt:i4>
      </vt:variant>
      <vt:variant>
        <vt:i4>2</vt:i4>
      </vt:variant>
      <vt:variant>
        <vt:i4>0</vt:i4>
      </vt:variant>
      <vt:variant>
        <vt:i4>5</vt:i4>
      </vt:variant>
      <vt:variant>
        <vt:lpwstr>https://www.roundupreadyplus.com/Pages/Home.aspx</vt:lpwstr>
      </vt:variant>
      <vt:variant>
        <vt:lpwstr/>
      </vt:variant>
      <vt:variant>
        <vt:i4>4456464</vt:i4>
      </vt:variant>
      <vt:variant>
        <vt:i4>0</vt:i4>
      </vt:variant>
      <vt:variant>
        <vt:i4>0</vt:i4>
      </vt:variant>
      <vt:variant>
        <vt:i4>5</vt:i4>
      </vt:variant>
      <vt:variant>
        <vt:lpwstr>http://www.mssoy.org/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Washburn</dc:creator>
  <cp:keywords/>
  <cp:lastModifiedBy>Larry Heatherly</cp:lastModifiedBy>
  <cp:revision>12</cp:revision>
  <cp:lastPrinted>2025-01-18T19:19:00Z</cp:lastPrinted>
  <dcterms:created xsi:type="dcterms:W3CDTF">2025-01-17T23:35:00Z</dcterms:created>
  <dcterms:modified xsi:type="dcterms:W3CDTF">2025-01-18T19:19:00Z</dcterms:modified>
</cp:coreProperties>
</file>