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DE8D5" w14:textId="5E459A91" w:rsidR="00761ACE" w:rsidRPr="00CE2F24" w:rsidRDefault="00EE687A" w:rsidP="00D45E40">
      <w:pPr>
        <w:widowControl w:val="0"/>
        <w:autoSpaceDE w:val="0"/>
        <w:autoSpaceDN w:val="0"/>
        <w:spacing w:after="120" w:line="276" w:lineRule="auto"/>
        <w:jc w:val="center"/>
        <w:rPr>
          <w:rFonts w:ascii="Times New Roman" w:eastAsia="Times New Roman" w:hAnsi="Times New Roman" w:cs="Times New Roman"/>
          <w:b/>
          <w:lang w:eastAsia="en-US" w:bidi="en-US"/>
        </w:rPr>
      </w:pPr>
      <w:r w:rsidRPr="00CE2F24">
        <w:rPr>
          <w:rFonts w:ascii="Times New Roman" w:eastAsia="Times New Roman" w:hAnsi="Times New Roman" w:cs="Times New Roman"/>
          <w:b/>
          <w:lang w:eastAsia="en-US" w:bidi="en-US"/>
        </w:rPr>
        <w:t>Development of molecular diagnostic method for the diamide resistance in Soybean looper</w:t>
      </w:r>
      <w:r w:rsidR="00292533" w:rsidRPr="00CE2F24">
        <w:rPr>
          <w:rFonts w:ascii="Times New Roman" w:eastAsia="Times New Roman" w:hAnsi="Times New Roman" w:cs="Times New Roman"/>
          <w:b/>
          <w:lang w:eastAsia="en-US" w:bidi="en-US"/>
        </w:rPr>
        <w:t xml:space="preserve">, </w:t>
      </w:r>
      <w:r w:rsidR="003F4772" w:rsidRPr="00CE2F24">
        <w:rPr>
          <w:rFonts w:ascii="Times New Roman" w:eastAsia="Times New Roman" w:hAnsi="Times New Roman" w:cs="Times New Roman"/>
          <w:b/>
          <w:lang w:eastAsia="en-US" w:bidi="en-US"/>
        </w:rPr>
        <w:t>32-202</w:t>
      </w:r>
      <w:r w:rsidR="00E41F7E" w:rsidRPr="00CE2F24">
        <w:rPr>
          <w:rFonts w:ascii="Times New Roman" w:eastAsia="Times New Roman" w:hAnsi="Times New Roman" w:cs="Times New Roman"/>
          <w:b/>
          <w:lang w:eastAsia="en-US" w:bidi="en-US"/>
        </w:rPr>
        <w:t>4</w:t>
      </w:r>
    </w:p>
    <w:p w14:paraId="3078C1F8" w14:textId="7233AD99" w:rsidR="00A62655" w:rsidRPr="00CE2F24" w:rsidRDefault="005F42F7" w:rsidP="00D45E40">
      <w:pPr>
        <w:widowControl w:val="0"/>
        <w:autoSpaceDE w:val="0"/>
        <w:autoSpaceDN w:val="0"/>
        <w:spacing w:after="120" w:line="276" w:lineRule="auto"/>
        <w:jc w:val="center"/>
        <w:rPr>
          <w:rFonts w:ascii="Times New Roman" w:eastAsia="Times New Roman" w:hAnsi="Times New Roman" w:cs="Times New Roman"/>
          <w:b/>
          <w:lang w:eastAsia="en-US" w:bidi="en-US"/>
        </w:rPr>
      </w:pPr>
      <w:r w:rsidRPr="00CE2F24">
        <w:rPr>
          <w:rFonts w:ascii="Times New Roman" w:eastAsia="Times New Roman" w:hAnsi="Times New Roman" w:cs="Times New Roman"/>
          <w:b/>
          <w:lang w:eastAsia="en-US" w:bidi="en-US"/>
        </w:rPr>
        <w:t>Final Reports</w:t>
      </w:r>
    </w:p>
    <w:p w14:paraId="5B8E6B5C" w14:textId="77777777" w:rsidR="00FC48BA" w:rsidRPr="00CE2F24" w:rsidRDefault="00FC48BA" w:rsidP="00D45E40">
      <w:pPr>
        <w:widowControl w:val="0"/>
        <w:autoSpaceDE w:val="0"/>
        <w:autoSpaceDN w:val="0"/>
        <w:spacing w:after="120" w:line="276" w:lineRule="auto"/>
        <w:rPr>
          <w:rFonts w:ascii="Times New Roman" w:eastAsia="Times New Roman" w:hAnsi="Times New Roman" w:cs="Times New Roman"/>
          <w:bCs/>
          <w:lang w:eastAsia="en-US" w:bidi="en-US"/>
        </w:rPr>
      </w:pPr>
    </w:p>
    <w:p w14:paraId="5CB977CA" w14:textId="36BCE7C1" w:rsidR="00CE746A" w:rsidRPr="00CE2F24" w:rsidRDefault="001F2C2F" w:rsidP="00D45E40">
      <w:pPr>
        <w:widowControl w:val="0"/>
        <w:autoSpaceDE w:val="0"/>
        <w:autoSpaceDN w:val="0"/>
        <w:spacing w:after="120" w:line="276" w:lineRule="auto"/>
        <w:rPr>
          <w:rFonts w:ascii="Times New Roman" w:eastAsia="Times New Roman" w:hAnsi="Times New Roman" w:cs="Times New Roman"/>
          <w:bCs/>
          <w:lang w:val="de-DE" w:eastAsia="en-US" w:bidi="en-US"/>
        </w:rPr>
      </w:pPr>
      <w:r w:rsidRPr="00CE2F24">
        <w:rPr>
          <w:rFonts w:ascii="Times New Roman" w:eastAsia="Times New Roman" w:hAnsi="Times New Roman" w:cs="Times New Roman"/>
          <w:bCs/>
          <w:lang w:val="de-DE" w:eastAsia="en-US" w:bidi="en-US"/>
        </w:rPr>
        <w:t xml:space="preserve">PI: </w:t>
      </w:r>
      <w:r w:rsidR="00A62655" w:rsidRPr="00CE2F24">
        <w:rPr>
          <w:rFonts w:ascii="Times New Roman" w:eastAsia="Times New Roman" w:hAnsi="Times New Roman" w:cs="Times New Roman"/>
          <w:bCs/>
          <w:lang w:val="de-DE" w:eastAsia="en-US" w:bidi="en-US"/>
        </w:rPr>
        <w:t>Seung-Joon Ahn</w:t>
      </w:r>
      <w:r w:rsidR="00CE746A" w:rsidRPr="00CE2F24">
        <w:rPr>
          <w:rFonts w:ascii="Times New Roman" w:eastAsia="Times New Roman" w:hAnsi="Times New Roman" w:cs="Times New Roman"/>
          <w:bCs/>
          <w:lang w:val="de-DE" w:eastAsia="en-US" w:bidi="en-US"/>
        </w:rPr>
        <w:t xml:space="preserve">, </w:t>
      </w:r>
      <w:hyperlink r:id="rId5" w:history="1">
        <w:r w:rsidR="009B16B1" w:rsidRPr="00CE2F24">
          <w:rPr>
            <w:rStyle w:val="Hyperlink"/>
            <w:rFonts w:ascii="Times New Roman" w:eastAsia="Times New Roman" w:hAnsi="Times New Roman" w:cs="Times New Roman"/>
            <w:bCs/>
            <w:lang w:val="de-DE" w:eastAsia="en-US" w:bidi="en-US"/>
          </w:rPr>
          <w:t>seungjoon.ahn@msstate.edu</w:t>
        </w:r>
      </w:hyperlink>
      <w:r w:rsidR="00CE746A" w:rsidRPr="00CE2F24">
        <w:rPr>
          <w:rStyle w:val="Hyperlink"/>
          <w:rFonts w:ascii="Times New Roman" w:eastAsia="Times New Roman" w:hAnsi="Times New Roman" w:cs="Times New Roman"/>
          <w:bCs/>
          <w:lang w:val="de-DE" w:eastAsia="en-US" w:bidi="en-US"/>
        </w:rPr>
        <w:t>,</w:t>
      </w:r>
      <w:r w:rsidR="002C1B6F" w:rsidRPr="00CE2F24">
        <w:rPr>
          <w:rFonts w:ascii="Times New Roman" w:eastAsia="Times New Roman" w:hAnsi="Times New Roman" w:cs="Times New Roman"/>
          <w:bCs/>
          <w:lang w:val="de-DE" w:eastAsia="en-US" w:bidi="en-US"/>
        </w:rPr>
        <w:t xml:space="preserve"> </w:t>
      </w:r>
      <w:r w:rsidRPr="00CE2F24">
        <w:rPr>
          <w:rFonts w:ascii="Times New Roman" w:eastAsia="Times New Roman" w:hAnsi="Times New Roman" w:cs="Times New Roman"/>
          <w:bCs/>
          <w:lang w:val="de-DE" w:eastAsia="en-US" w:bidi="en-US"/>
        </w:rPr>
        <w:t>662-325-7516</w:t>
      </w:r>
    </w:p>
    <w:p w14:paraId="16DC99AE" w14:textId="4A249802" w:rsidR="00FC48BA" w:rsidRPr="00CE2F24" w:rsidRDefault="001F2C2F" w:rsidP="00D45E40">
      <w:pPr>
        <w:widowControl w:val="0"/>
        <w:autoSpaceDE w:val="0"/>
        <w:autoSpaceDN w:val="0"/>
        <w:spacing w:after="120" w:line="276" w:lineRule="auto"/>
        <w:rPr>
          <w:rFonts w:ascii="Times New Roman" w:eastAsia="Times New Roman" w:hAnsi="Times New Roman" w:cs="Times New Roman"/>
          <w:bCs/>
          <w:lang w:eastAsia="en-US" w:bidi="en-US"/>
        </w:rPr>
      </w:pPr>
      <w:r w:rsidRPr="00CE2F24">
        <w:rPr>
          <w:rFonts w:ascii="Times New Roman" w:eastAsia="Times New Roman" w:hAnsi="Times New Roman" w:cs="Times New Roman"/>
          <w:bCs/>
          <w:lang w:eastAsia="en-US" w:bidi="en-US"/>
        </w:rPr>
        <w:t xml:space="preserve">Co-PI: </w:t>
      </w:r>
      <w:r w:rsidR="009B16B1" w:rsidRPr="00CE2F24">
        <w:rPr>
          <w:rFonts w:ascii="Times New Roman" w:eastAsia="Times New Roman" w:hAnsi="Times New Roman" w:cs="Times New Roman"/>
          <w:bCs/>
          <w:lang w:eastAsia="en-US" w:bidi="en-US"/>
        </w:rPr>
        <w:t>Fred R. Musser</w:t>
      </w:r>
      <w:r w:rsidR="00CE746A" w:rsidRPr="00CE2F24">
        <w:rPr>
          <w:rFonts w:ascii="Times New Roman" w:eastAsia="Times New Roman" w:hAnsi="Times New Roman" w:cs="Times New Roman"/>
          <w:bCs/>
          <w:lang w:eastAsia="en-US" w:bidi="en-US"/>
        </w:rPr>
        <w:t xml:space="preserve">, </w:t>
      </w:r>
      <w:hyperlink r:id="rId6" w:history="1">
        <w:r w:rsidR="00CE746A" w:rsidRPr="00CE2F24">
          <w:rPr>
            <w:rStyle w:val="Hyperlink"/>
            <w:rFonts w:ascii="Times New Roman" w:eastAsia="Times New Roman" w:hAnsi="Times New Roman" w:cs="Times New Roman"/>
            <w:bCs/>
            <w:lang w:eastAsia="en-US" w:bidi="en-US"/>
          </w:rPr>
          <w:t>fm61@msstate.edu</w:t>
        </w:r>
      </w:hyperlink>
      <w:r w:rsidR="00CE746A" w:rsidRPr="00CE2F24">
        <w:rPr>
          <w:rFonts w:ascii="Times New Roman" w:eastAsia="Times New Roman" w:hAnsi="Times New Roman" w:cs="Times New Roman"/>
          <w:bCs/>
          <w:lang w:eastAsia="en-US" w:bidi="en-US"/>
        </w:rPr>
        <w:t xml:space="preserve">, </w:t>
      </w:r>
      <w:r w:rsidR="00FC48BA" w:rsidRPr="00CE2F24">
        <w:rPr>
          <w:rFonts w:ascii="Times New Roman" w:eastAsia="Times New Roman" w:hAnsi="Times New Roman" w:cs="Times New Roman"/>
          <w:bCs/>
          <w:lang w:eastAsia="en-US" w:bidi="en-US"/>
        </w:rPr>
        <w:t>662</w:t>
      </w:r>
      <w:r w:rsidR="002C1B6F" w:rsidRPr="00CE2F24">
        <w:rPr>
          <w:rFonts w:ascii="Times New Roman" w:eastAsia="Times New Roman" w:hAnsi="Times New Roman" w:cs="Times New Roman"/>
          <w:bCs/>
          <w:lang w:eastAsia="en-US" w:bidi="en-US"/>
        </w:rPr>
        <w:t>-</w:t>
      </w:r>
      <w:r w:rsidR="00B00D6F" w:rsidRPr="00CE2F24">
        <w:rPr>
          <w:rFonts w:ascii="Times New Roman" w:eastAsia="Times New Roman" w:hAnsi="Times New Roman" w:cs="Times New Roman"/>
          <w:bCs/>
          <w:lang w:eastAsia="en-US" w:bidi="en-US"/>
        </w:rPr>
        <w:t>325-2974</w:t>
      </w:r>
    </w:p>
    <w:p w14:paraId="6399E733" w14:textId="51DFE17A" w:rsidR="009B16B1" w:rsidRDefault="000430C0" w:rsidP="00D45E40">
      <w:pPr>
        <w:widowControl w:val="0"/>
        <w:autoSpaceDE w:val="0"/>
        <w:autoSpaceDN w:val="0"/>
        <w:spacing w:after="120" w:line="276" w:lineRule="auto"/>
        <w:rPr>
          <w:rFonts w:ascii="Times New Roman" w:eastAsia="Times New Roman" w:hAnsi="Times New Roman" w:cs="Times New Roman"/>
          <w:bCs/>
          <w:lang w:eastAsia="en-US" w:bidi="en-US"/>
        </w:rPr>
      </w:pPr>
      <w:r w:rsidRPr="000430C0">
        <w:rPr>
          <w:rFonts w:ascii="Times New Roman" w:eastAsia="Times New Roman" w:hAnsi="Times New Roman" w:cs="Times New Roman"/>
          <w:bCs/>
          <w:lang w:eastAsia="en-US" w:bidi="en-US"/>
        </w:rPr>
        <w:t xml:space="preserve">PhD student: Sena Isbilir, </w:t>
      </w:r>
      <w:hyperlink r:id="rId7" w:history="1">
        <w:r w:rsidRPr="008F20BB">
          <w:rPr>
            <w:rStyle w:val="Hyperlink"/>
            <w:rFonts w:ascii="Times New Roman" w:eastAsia="Times New Roman" w:hAnsi="Times New Roman" w:cs="Times New Roman"/>
            <w:bCs/>
            <w:lang w:eastAsia="en-US" w:bidi="en-US"/>
          </w:rPr>
          <w:t>si240@msstate.edu</w:t>
        </w:r>
      </w:hyperlink>
      <w:r w:rsidRPr="000430C0">
        <w:rPr>
          <w:rFonts w:ascii="Times New Roman" w:eastAsia="Times New Roman" w:hAnsi="Times New Roman" w:cs="Times New Roman"/>
          <w:bCs/>
          <w:lang w:eastAsia="en-US" w:bidi="en-US"/>
        </w:rPr>
        <w:t>, 662-325-7516</w:t>
      </w:r>
      <w:r w:rsidR="00AA0666" w:rsidRPr="00AA0666">
        <w:rPr>
          <w:rFonts w:ascii="Times New Roman" w:eastAsia="Times New Roman" w:hAnsi="Times New Roman" w:cs="Times New Roman"/>
          <w:bCs/>
          <w:lang w:eastAsia="en-US" w:bidi="en-US"/>
        </w:rPr>
        <w:t xml:space="preserve"> </w:t>
      </w:r>
      <w:r w:rsidRPr="00881542">
        <w:rPr>
          <w:rFonts w:ascii="Times New Roman" w:eastAsia="Times New Roman" w:hAnsi="Times New Roman" w:cs="Times New Roman"/>
          <w:bCs/>
          <w:i/>
          <w:iCs/>
          <w:lang w:eastAsia="en-US" w:bidi="en-US"/>
        </w:rPr>
        <w:t xml:space="preserve">(Graduated </w:t>
      </w:r>
      <w:r w:rsidR="00881542" w:rsidRPr="00881542">
        <w:rPr>
          <w:rFonts w:ascii="Times New Roman" w:eastAsia="Times New Roman" w:hAnsi="Times New Roman" w:cs="Times New Roman"/>
          <w:bCs/>
          <w:i/>
          <w:iCs/>
          <w:lang w:eastAsia="en-US" w:bidi="en-US"/>
        </w:rPr>
        <w:t>in</w:t>
      </w:r>
      <w:r w:rsidRPr="00881542">
        <w:rPr>
          <w:rFonts w:ascii="Times New Roman" w:eastAsia="Times New Roman" w:hAnsi="Times New Roman" w:cs="Times New Roman"/>
          <w:bCs/>
          <w:i/>
          <w:iCs/>
          <w:lang w:eastAsia="en-US" w:bidi="en-US"/>
        </w:rPr>
        <w:t xml:space="preserve"> December 2024)</w:t>
      </w:r>
    </w:p>
    <w:p w14:paraId="0EAEDFE7" w14:textId="77777777" w:rsidR="000D37C7" w:rsidRPr="00CE2F24" w:rsidRDefault="000D37C7" w:rsidP="00D45E40">
      <w:pPr>
        <w:widowControl w:val="0"/>
        <w:autoSpaceDE w:val="0"/>
        <w:autoSpaceDN w:val="0"/>
        <w:spacing w:after="120" w:line="276" w:lineRule="auto"/>
        <w:rPr>
          <w:rFonts w:ascii="Times New Roman" w:eastAsia="Times New Roman" w:hAnsi="Times New Roman" w:cs="Times New Roman"/>
          <w:bCs/>
          <w:lang w:eastAsia="en-US" w:bidi="en-US"/>
        </w:rPr>
      </w:pPr>
    </w:p>
    <w:p w14:paraId="6E58A65C" w14:textId="77777777" w:rsidR="005F42F7" w:rsidRPr="00CE2F24" w:rsidRDefault="005F42F7" w:rsidP="00D45E40">
      <w:pPr>
        <w:widowControl w:val="0"/>
        <w:spacing w:after="120" w:line="276" w:lineRule="auto"/>
        <w:jc w:val="center"/>
        <w:rPr>
          <w:rFonts w:ascii="Times New Roman" w:eastAsia="MS Mincho" w:hAnsi="Times New Roman" w:cs="Times New Roman"/>
          <w:b/>
          <w:lang w:eastAsia="ja-JP"/>
        </w:rPr>
      </w:pPr>
      <w:r w:rsidRPr="005F42F7">
        <w:rPr>
          <w:rFonts w:ascii="Times New Roman" w:eastAsia="MS Mincho" w:hAnsi="Times New Roman" w:cs="Times New Roman"/>
          <w:b/>
          <w:lang w:eastAsia="ja-JP"/>
        </w:rPr>
        <w:t>Background and Objectives</w:t>
      </w:r>
    </w:p>
    <w:p w14:paraId="59AC29F2" w14:textId="52D68194" w:rsidR="008A52D1" w:rsidRPr="00BA37E9" w:rsidRDefault="008A52D1" w:rsidP="008A52D1">
      <w:pPr>
        <w:spacing w:after="120" w:line="276" w:lineRule="auto"/>
        <w:rPr>
          <w:rFonts w:ascii="Times New Roman" w:eastAsia="Times New Roman" w:hAnsi="Times New Roman" w:cs="Times New Roman"/>
        </w:rPr>
      </w:pPr>
      <w:r w:rsidRPr="008A52D1">
        <w:rPr>
          <w:rFonts w:ascii="Times New Roman" w:eastAsia="Times New Roman" w:hAnsi="Times New Roman" w:cs="Times New Roman"/>
        </w:rPr>
        <w:t>The soybean looper (</w:t>
      </w:r>
      <w:r w:rsidRPr="002C70E2">
        <w:rPr>
          <w:rFonts w:ascii="Times New Roman" w:eastAsia="Times New Roman" w:hAnsi="Times New Roman" w:cs="Times New Roman"/>
          <w:i/>
          <w:iCs/>
        </w:rPr>
        <w:t>Chrysodeixis includens</w:t>
      </w:r>
      <w:r w:rsidRPr="008A52D1">
        <w:rPr>
          <w:rFonts w:ascii="Times New Roman" w:eastAsia="Times New Roman" w:hAnsi="Times New Roman" w:cs="Times New Roman"/>
        </w:rPr>
        <w:t>) is a major defoliating pest of soybean, migrating north from southern regions through Mississippi in August and September</w:t>
      </w:r>
      <w:r w:rsidR="00483577">
        <w:rPr>
          <w:rFonts w:ascii="Times New Roman" w:eastAsia="Times New Roman" w:hAnsi="Times New Roman" w:cs="Times New Roman"/>
        </w:rPr>
        <w:t>.</w:t>
      </w:r>
      <w:r w:rsidR="002C70E2">
        <w:rPr>
          <w:rFonts w:ascii="Times New Roman" w:eastAsia="Times New Roman" w:hAnsi="Times New Roman" w:cs="Times New Roman"/>
        </w:rPr>
        <w:t xml:space="preserve"> </w:t>
      </w:r>
      <w:r w:rsidRPr="008A52D1">
        <w:rPr>
          <w:rFonts w:ascii="Times New Roman" w:eastAsia="Times New Roman" w:hAnsi="Times New Roman" w:cs="Times New Roman"/>
        </w:rPr>
        <w:t>Since the introduction of diamide insecticides like chlorantraniliprole, soybean looper populations have been effectively managed with no significant resistance issues. Diamides target ryanodine receptors (RyR), intracellular calcium channels essential for muscle and nerve function. However, given the soybean looper’s history of resistance to pyrethroids, carbamates, and organophosphates, resistance to diamides is likely to emerge. Growers must be prepared for future management challenges should diamides lose efficacy.</w:t>
      </w:r>
      <w:r>
        <w:rPr>
          <w:rFonts w:ascii="Times New Roman" w:eastAsia="Times New Roman" w:hAnsi="Times New Roman" w:cs="Times New Roman"/>
        </w:rPr>
        <w:t xml:space="preserve"> </w:t>
      </w:r>
      <w:r w:rsidRPr="008A52D1">
        <w:rPr>
          <w:rFonts w:ascii="Times New Roman" w:eastAsia="Times New Roman" w:hAnsi="Times New Roman" w:cs="Times New Roman"/>
        </w:rPr>
        <w:t>Diamide resistance has already been reported in several lepidopteran pests, including the diamondback moth, tomato leaf miner, rice stem borer, and beet armyworm in various regions. Although no confirmed cases of diamide resistance in soybean looper have been reported, reduced efficacy has been observed in the southeastern United States, particularly in populations suspected to have migrated from Puerto Rico. Regular resistance monitoring in Mississippi is crucial to help farmers select the most effective insecticides.</w:t>
      </w:r>
      <w:r>
        <w:rPr>
          <w:rFonts w:ascii="Times New Roman" w:eastAsia="Times New Roman" w:hAnsi="Times New Roman" w:cs="Times New Roman"/>
        </w:rPr>
        <w:t xml:space="preserve"> </w:t>
      </w:r>
      <w:r w:rsidRPr="008A52D1">
        <w:rPr>
          <w:rFonts w:ascii="Times New Roman" w:eastAsia="Times New Roman" w:hAnsi="Times New Roman" w:cs="Times New Roman"/>
        </w:rPr>
        <w:t xml:space="preserve">For the past two years, we have monitored soybean looper populations for diamide resistance. While bioassays provide direct field-relevant data, they require significant time and effort. Field populations must be collected alive, reared for multiple generations under controlled conditions, and then tested. In contrast, molecular markers could provide a faster and more efficient resistance detection method. Unlike bioassays, molecular diagnostics do not require live insects—resistance can be detected from any developmental stage or even from body parts like legs. This makes molecular diagnostics a practical, proactive tool for resistance monitoring, allowing farmers to make informed insecticide choices before </w:t>
      </w:r>
      <w:r w:rsidRPr="00BA37E9">
        <w:rPr>
          <w:rFonts w:ascii="Times New Roman" w:eastAsia="Times New Roman" w:hAnsi="Times New Roman" w:cs="Times New Roman"/>
        </w:rPr>
        <w:t xml:space="preserve">resistance becomes widespread. </w:t>
      </w:r>
    </w:p>
    <w:p w14:paraId="2AEC2EE6" w14:textId="7635B480" w:rsidR="00DB1655" w:rsidRPr="00BA37E9" w:rsidRDefault="001F6431" w:rsidP="008A52D1">
      <w:pPr>
        <w:spacing w:after="120" w:line="276" w:lineRule="auto"/>
        <w:rPr>
          <w:rFonts w:ascii="Times New Roman" w:eastAsia="Times New Roman" w:hAnsi="Times New Roman" w:cs="Times New Roman"/>
        </w:rPr>
      </w:pPr>
      <w:r w:rsidRPr="00BA37E9">
        <w:rPr>
          <w:rFonts w:ascii="Times New Roman" w:eastAsia="Times New Roman" w:hAnsi="Times New Roman" w:cs="Times New Roman"/>
        </w:rPr>
        <w:t xml:space="preserve">Over the past </w:t>
      </w:r>
      <w:r w:rsidR="00FA5DDD">
        <w:rPr>
          <w:rFonts w:ascii="Times New Roman" w:eastAsia="Times New Roman" w:hAnsi="Times New Roman" w:cs="Times New Roman"/>
        </w:rPr>
        <w:t>four</w:t>
      </w:r>
      <w:r w:rsidRPr="00BA37E9">
        <w:rPr>
          <w:rFonts w:ascii="Times New Roman" w:eastAsia="Times New Roman" w:hAnsi="Times New Roman" w:cs="Times New Roman"/>
        </w:rPr>
        <w:t xml:space="preserve"> years, t</w:t>
      </w:r>
      <w:r w:rsidR="004E610C" w:rsidRPr="00BA37E9">
        <w:rPr>
          <w:rFonts w:ascii="Times New Roman" w:eastAsia="Times New Roman" w:hAnsi="Times New Roman" w:cs="Times New Roman"/>
        </w:rPr>
        <w:t xml:space="preserve">his project </w:t>
      </w:r>
      <w:r w:rsidRPr="00BA37E9">
        <w:rPr>
          <w:rFonts w:ascii="Times New Roman" w:eastAsia="Times New Roman" w:hAnsi="Times New Roman" w:cs="Times New Roman"/>
        </w:rPr>
        <w:t xml:space="preserve">has </w:t>
      </w:r>
      <w:r w:rsidR="00FA5DDD">
        <w:rPr>
          <w:rFonts w:ascii="Times New Roman" w:eastAsia="Times New Roman" w:hAnsi="Times New Roman" w:cs="Times New Roman"/>
        </w:rPr>
        <w:t xml:space="preserve">focused on the </w:t>
      </w:r>
      <w:r w:rsidRPr="00BA37E9">
        <w:rPr>
          <w:rFonts w:ascii="Times New Roman" w:eastAsia="Times New Roman" w:hAnsi="Times New Roman" w:cs="Times New Roman"/>
        </w:rPr>
        <w:t xml:space="preserve">following </w:t>
      </w:r>
      <w:r w:rsidR="00FA5DDD">
        <w:rPr>
          <w:rFonts w:ascii="Times New Roman" w:eastAsia="Times New Roman" w:hAnsi="Times New Roman" w:cs="Times New Roman"/>
        </w:rPr>
        <w:t>key</w:t>
      </w:r>
      <w:r w:rsidRPr="00BA37E9">
        <w:rPr>
          <w:rFonts w:ascii="Times New Roman" w:eastAsia="Times New Roman" w:hAnsi="Times New Roman" w:cs="Times New Roman"/>
        </w:rPr>
        <w:t xml:space="preserve"> </w:t>
      </w:r>
      <w:r w:rsidR="00BA37E9" w:rsidRPr="00BA37E9">
        <w:rPr>
          <w:rFonts w:ascii="Times New Roman" w:eastAsia="Times New Roman" w:hAnsi="Times New Roman" w:cs="Times New Roman"/>
        </w:rPr>
        <w:t>o</w:t>
      </w:r>
      <w:r w:rsidR="004E610C" w:rsidRPr="00BA37E9">
        <w:rPr>
          <w:rFonts w:ascii="Times New Roman" w:eastAsia="Times New Roman" w:hAnsi="Times New Roman" w:cs="Times New Roman"/>
        </w:rPr>
        <w:t xml:space="preserve">bjectives: </w:t>
      </w:r>
    </w:p>
    <w:p w14:paraId="751AF086" w14:textId="77777777" w:rsidR="00C77974" w:rsidRPr="00BA37E9" w:rsidRDefault="00C77974" w:rsidP="00BA37E9">
      <w:pPr>
        <w:pStyle w:val="ListParagraph"/>
        <w:numPr>
          <w:ilvl w:val="0"/>
          <w:numId w:val="4"/>
        </w:numPr>
        <w:spacing w:after="120" w:line="276" w:lineRule="auto"/>
        <w:rPr>
          <w:rFonts w:ascii="Times New Roman" w:eastAsia="Times New Roman" w:hAnsi="Times New Roman"/>
          <w:sz w:val="22"/>
          <w:szCs w:val="22"/>
        </w:rPr>
      </w:pPr>
      <w:r w:rsidRPr="00BA37E9">
        <w:rPr>
          <w:rFonts w:ascii="Times New Roman" w:eastAsia="Times New Roman" w:hAnsi="Times New Roman"/>
          <w:b/>
          <w:bCs/>
          <w:sz w:val="22"/>
          <w:szCs w:val="22"/>
        </w:rPr>
        <w:t>Objective 1:</w:t>
      </w:r>
      <w:r w:rsidRPr="00BA37E9">
        <w:rPr>
          <w:rFonts w:ascii="Times New Roman" w:eastAsia="Times New Roman" w:hAnsi="Times New Roman"/>
          <w:sz w:val="22"/>
          <w:szCs w:val="22"/>
        </w:rPr>
        <w:t xml:space="preserve"> Establish and bioassay a diamide-resistant soybean looper strain.</w:t>
      </w:r>
    </w:p>
    <w:p w14:paraId="258A4CAD" w14:textId="77777777" w:rsidR="00C77974" w:rsidRPr="00BA37E9" w:rsidRDefault="00C77974" w:rsidP="00BA37E9">
      <w:pPr>
        <w:pStyle w:val="ListParagraph"/>
        <w:numPr>
          <w:ilvl w:val="0"/>
          <w:numId w:val="4"/>
        </w:numPr>
        <w:spacing w:after="120" w:line="276" w:lineRule="auto"/>
        <w:rPr>
          <w:rFonts w:ascii="Times New Roman" w:eastAsia="Times New Roman" w:hAnsi="Times New Roman"/>
          <w:sz w:val="22"/>
          <w:szCs w:val="22"/>
        </w:rPr>
      </w:pPr>
      <w:r w:rsidRPr="00BA37E9">
        <w:rPr>
          <w:rFonts w:ascii="Times New Roman" w:eastAsia="Times New Roman" w:hAnsi="Times New Roman"/>
          <w:b/>
          <w:bCs/>
          <w:sz w:val="22"/>
          <w:szCs w:val="22"/>
        </w:rPr>
        <w:t>Objective 2:</w:t>
      </w:r>
      <w:r w:rsidRPr="00BA37E9">
        <w:rPr>
          <w:rFonts w:ascii="Times New Roman" w:eastAsia="Times New Roman" w:hAnsi="Times New Roman"/>
          <w:sz w:val="22"/>
          <w:szCs w:val="22"/>
        </w:rPr>
        <w:t xml:space="preserve"> Analyze ryanodine receptor (RyR) for target-site resistance.</w:t>
      </w:r>
    </w:p>
    <w:p w14:paraId="45AC5666" w14:textId="0B2C65D1" w:rsidR="00C77974" w:rsidRPr="00BA37E9" w:rsidRDefault="00C77974" w:rsidP="00BA37E9">
      <w:pPr>
        <w:pStyle w:val="ListParagraph"/>
        <w:numPr>
          <w:ilvl w:val="0"/>
          <w:numId w:val="4"/>
        </w:numPr>
        <w:spacing w:after="120" w:line="276" w:lineRule="auto"/>
        <w:rPr>
          <w:rFonts w:ascii="Times New Roman" w:eastAsia="Times New Roman" w:hAnsi="Times New Roman"/>
          <w:sz w:val="22"/>
          <w:szCs w:val="22"/>
        </w:rPr>
      </w:pPr>
      <w:r w:rsidRPr="00BA37E9">
        <w:rPr>
          <w:rFonts w:ascii="Times New Roman" w:eastAsia="Times New Roman" w:hAnsi="Times New Roman"/>
          <w:b/>
          <w:bCs/>
          <w:sz w:val="22"/>
          <w:szCs w:val="22"/>
        </w:rPr>
        <w:t>Objective 3</w:t>
      </w:r>
      <w:r w:rsidRPr="00BA37E9">
        <w:rPr>
          <w:rFonts w:ascii="Times New Roman" w:eastAsia="Times New Roman" w:hAnsi="Times New Roman"/>
          <w:sz w:val="22"/>
          <w:szCs w:val="22"/>
        </w:rPr>
        <w:t xml:space="preserve">: </w:t>
      </w:r>
      <w:r w:rsidR="00FA5DDD">
        <w:rPr>
          <w:rFonts w:ascii="Times New Roman" w:eastAsia="Times New Roman" w:hAnsi="Times New Roman"/>
          <w:sz w:val="22"/>
          <w:szCs w:val="22"/>
        </w:rPr>
        <w:t>Investigate</w:t>
      </w:r>
      <w:r w:rsidRPr="00BA37E9">
        <w:rPr>
          <w:rFonts w:ascii="Times New Roman" w:eastAsia="Times New Roman" w:hAnsi="Times New Roman"/>
          <w:sz w:val="22"/>
          <w:szCs w:val="22"/>
        </w:rPr>
        <w:t xml:space="preserve"> transcriptome profiles for metabolic resistance.</w:t>
      </w:r>
    </w:p>
    <w:p w14:paraId="73612D6E" w14:textId="0055290E" w:rsidR="00F0321D" w:rsidRPr="00BA37E9" w:rsidRDefault="00C77974" w:rsidP="00BA37E9">
      <w:pPr>
        <w:pStyle w:val="ListParagraph"/>
        <w:numPr>
          <w:ilvl w:val="0"/>
          <w:numId w:val="4"/>
        </w:numPr>
        <w:spacing w:after="120" w:line="276" w:lineRule="auto"/>
        <w:rPr>
          <w:rFonts w:ascii="Times New Roman" w:eastAsia="Times New Roman" w:hAnsi="Times New Roman"/>
          <w:sz w:val="22"/>
          <w:szCs w:val="22"/>
        </w:rPr>
      </w:pPr>
      <w:r w:rsidRPr="00BA37E9">
        <w:rPr>
          <w:rFonts w:ascii="Times New Roman" w:eastAsia="Times New Roman" w:hAnsi="Times New Roman"/>
          <w:b/>
          <w:bCs/>
          <w:sz w:val="22"/>
          <w:szCs w:val="22"/>
        </w:rPr>
        <w:t>Objective 4:</w:t>
      </w:r>
      <w:r w:rsidRPr="00BA37E9">
        <w:rPr>
          <w:rFonts w:ascii="Times New Roman" w:eastAsia="Times New Roman" w:hAnsi="Times New Roman"/>
          <w:sz w:val="22"/>
          <w:szCs w:val="22"/>
        </w:rPr>
        <w:t xml:space="preserve"> Develop molecular marker</w:t>
      </w:r>
      <w:r w:rsidR="00FA5DDD">
        <w:rPr>
          <w:rFonts w:ascii="Times New Roman" w:eastAsia="Times New Roman" w:hAnsi="Times New Roman"/>
          <w:sz w:val="22"/>
          <w:szCs w:val="22"/>
        </w:rPr>
        <w:t>s</w:t>
      </w:r>
      <w:r w:rsidRPr="00BA37E9">
        <w:rPr>
          <w:rFonts w:ascii="Times New Roman" w:eastAsia="Times New Roman" w:hAnsi="Times New Roman"/>
          <w:sz w:val="22"/>
          <w:szCs w:val="22"/>
        </w:rPr>
        <w:t xml:space="preserve"> for diamide resistance. </w:t>
      </w:r>
    </w:p>
    <w:p w14:paraId="63E62EE7" w14:textId="0A5B0AA7" w:rsidR="00C921EF" w:rsidRDefault="00C921EF">
      <w:pPr>
        <w:rPr>
          <w:rFonts w:ascii="Times New Roman" w:eastAsia="Times New Roman" w:hAnsi="Times New Roman" w:cs="Times New Roman"/>
        </w:rPr>
      </w:pPr>
      <w:r>
        <w:rPr>
          <w:rFonts w:ascii="Times New Roman" w:eastAsia="Times New Roman" w:hAnsi="Times New Roman" w:cs="Times New Roman"/>
        </w:rPr>
        <w:br w:type="page"/>
      </w:r>
    </w:p>
    <w:p w14:paraId="016E133D" w14:textId="77777777" w:rsidR="002F6810" w:rsidRPr="002F6810" w:rsidRDefault="002F6810" w:rsidP="00D45E40">
      <w:pPr>
        <w:widowControl w:val="0"/>
        <w:spacing w:after="120" w:line="276" w:lineRule="auto"/>
        <w:jc w:val="center"/>
        <w:rPr>
          <w:rFonts w:ascii="Times New Roman" w:eastAsia="MS Mincho" w:hAnsi="Times New Roman" w:cs="Times New Roman"/>
          <w:lang w:eastAsia="ja-JP"/>
        </w:rPr>
      </w:pPr>
      <w:r w:rsidRPr="002F6810">
        <w:rPr>
          <w:rFonts w:ascii="Times New Roman" w:eastAsia="MS Mincho" w:hAnsi="Times New Roman" w:cs="Times New Roman"/>
          <w:b/>
          <w:lang w:eastAsia="ja-JP"/>
        </w:rPr>
        <w:lastRenderedPageBreak/>
        <w:t>Report of Progress/Activity</w:t>
      </w:r>
    </w:p>
    <w:p w14:paraId="45F2614D" w14:textId="77777777" w:rsidR="00FC5A1A" w:rsidRDefault="00BE1FF3" w:rsidP="00D45E40">
      <w:pPr>
        <w:widowControl w:val="0"/>
        <w:autoSpaceDE w:val="0"/>
        <w:autoSpaceDN w:val="0"/>
        <w:spacing w:after="120" w:line="276" w:lineRule="auto"/>
        <w:rPr>
          <w:rFonts w:ascii="Times New Roman" w:eastAsia="MS Mincho" w:hAnsi="Times New Roman" w:cs="Times New Roman"/>
          <w:lang w:eastAsia="ja-JP"/>
        </w:rPr>
      </w:pPr>
      <w:r w:rsidRPr="00BE1FF3">
        <w:rPr>
          <w:rFonts w:ascii="Times New Roman" w:eastAsia="MS Mincho" w:hAnsi="Times New Roman" w:cs="Times New Roman"/>
          <w:lang w:eastAsia="ja-JP"/>
        </w:rPr>
        <w:t>This study aimed to establish a diamide-resistant strain of soybean looper (</w:t>
      </w:r>
      <w:r w:rsidRPr="00DB769A">
        <w:rPr>
          <w:rFonts w:ascii="Times New Roman" w:eastAsia="MS Mincho" w:hAnsi="Times New Roman" w:cs="Times New Roman"/>
          <w:i/>
          <w:iCs/>
          <w:lang w:eastAsia="ja-JP"/>
        </w:rPr>
        <w:t>Chrysodeixis includens</w:t>
      </w:r>
      <w:r w:rsidR="00483577">
        <w:rPr>
          <w:rFonts w:ascii="Times New Roman" w:eastAsia="MS Mincho" w:hAnsi="Times New Roman" w:cs="Times New Roman"/>
          <w:i/>
          <w:iCs/>
          <w:lang w:eastAsia="ja-JP"/>
        </w:rPr>
        <w:t xml:space="preserve">, </w:t>
      </w:r>
      <w:r w:rsidR="00483577" w:rsidRPr="00483577">
        <w:rPr>
          <w:rFonts w:ascii="Times New Roman" w:eastAsia="MS Mincho" w:hAnsi="Times New Roman" w:cs="Times New Roman"/>
          <w:lang w:eastAsia="ja-JP"/>
        </w:rPr>
        <w:t>Fig</w:t>
      </w:r>
      <w:r w:rsidR="00CF4DA3">
        <w:rPr>
          <w:rFonts w:ascii="Times New Roman" w:eastAsia="MS Mincho" w:hAnsi="Times New Roman" w:cs="Times New Roman"/>
          <w:lang w:eastAsia="ja-JP"/>
        </w:rPr>
        <w:t>.</w:t>
      </w:r>
      <w:r w:rsidR="00483577" w:rsidRPr="00483577">
        <w:rPr>
          <w:rFonts w:ascii="Times New Roman" w:eastAsia="MS Mincho" w:hAnsi="Times New Roman" w:cs="Times New Roman"/>
          <w:lang w:eastAsia="ja-JP"/>
        </w:rPr>
        <w:t xml:space="preserve"> 1</w:t>
      </w:r>
      <w:r w:rsidRPr="00BE1FF3">
        <w:rPr>
          <w:rFonts w:ascii="Times New Roman" w:eastAsia="MS Mincho" w:hAnsi="Times New Roman" w:cs="Times New Roman"/>
          <w:lang w:eastAsia="ja-JP"/>
        </w:rPr>
        <w:t xml:space="preserve">) from Puerto Rico (PR) and investigate resistance mechanisms. PR </w:t>
      </w:r>
      <w:r w:rsidR="00E47892">
        <w:rPr>
          <w:rFonts w:ascii="Times New Roman" w:eastAsia="MS Mincho" w:hAnsi="Times New Roman" w:cs="Times New Roman"/>
          <w:lang w:eastAsia="ja-JP"/>
        </w:rPr>
        <w:t xml:space="preserve">field populations were </w:t>
      </w:r>
      <w:r w:rsidRPr="00BE1FF3">
        <w:rPr>
          <w:rFonts w:ascii="Times New Roman" w:eastAsia="MS Mincho" w:hAnsi="Times New Roman" w:cs="Times New Roman"/>
          <w:lang w:eastAsia="ja-JP"/>
        </w:rPr>
        <w:t xml:space="preserve">established in laboratory and assayed with chlorantraniliprole, </w:t>
      </w:r>
      <w:r w:rsidR="00E47892">
        <w:rPr>
          <w:rFonts w:ascii="Times New Roman" w:eastAsia="MS Mincho" w:hAnsi="Times New Roman" w:cs="Times New Roman"/>
          <w:lang w:eastAsia="ja-JP"/>
        </w:rPr>
        <w:t>resulting in</w:t>
      </w:r>
      <w:r w:rsidRPr="00BE1FF3">
        <w:rPr>
          <w:rFonts w:ascii="Times New Roman" w:eastAsia="MS Mincho" w:hAnsi="Times New Roman" w:cs="Times New Roman"/>
          <w:lang w:eastAsia="ja-JP"/>
        </w:rPr>
        <w:t xml:space="preserve"> a 10-fold resistance ratio (RR) compared to a susceptible lab strain. Bioassays on PR populations from 2021 (PR21) and 2024 (PR24) revealed moderate (10×) and minimal (1.5×) resistance, respectively, suggesting genetic variation in resistance levels.</w:t>
      </w:r>
      <w:r>
        <w:rPr>
          <w:rFonts w:ascii="Times New Roman" w:eastAsia="MS Mincho" w:hAnsi="Times New Roman" w:cs="Times New Roman"/>
          <w:lang w:eastAsia="ja-JP"/>
        </w:rPr>
        <w:t xml:space="preserve"> </w:t>
      </w:r>
      <w:r w:rsidRPr="00BE1FF3">
        <w:rPr>
          <w:rFonts w:ascii="Times New Roman" w:eastAsia="MS Mincho" w:hAnsi="Times New Roman" w:cs="Times New Roman"/>
          <w:lang w:eastAsia="ja-JP"/>
        </w:rPr>
        <w:t>Target-site resistance was explored by screening the ryanodine receptor (RyR) gene, focusing on six potential mutation sites, with Y4667C/D being the most prevalent in PR21 and PR24. However, field populations from Tennessee, Louisiana, and Mississippi showed low mutation frequencies, and no direct correlation between Y4667C and resistance was found, indicating other resistance mechanisms.</w:t>
      </w:r>
      <w:r>
        <w:rPr>
          <w:rFonts w:ascii="Times New Roman" w:eastAsia="MS Mincho" w:hAnsi="Times New Roman" w:cs="Times New Roman"/>
          <w:lang w:eastAsia="ja-JP"/>
        </w:rPr>
        <w:t xml:space="preserve"> </w:t>
      </w:r>
      <w:r w:rsidRPr="00BE1FF3">
        <w:rPr>
          <w:rFonts w:ascii="Times New Roman" w:eastAsia="MS Mincho" w:hAnsi="Times New Roman" w:cs="Times New Roman"/>
          <w:lang w:eastAsia="ja-JP"/>
        </w:rPr>
        <w:t xml:space="preserve">Metabolic resistance was investigated through transcriptomic analysis, identifying upregulated cytochrome P450s (CYPs), glutathione S-transferases (GSTs), and other detoxification genes. </w:t>
      </w:r>
      <w:r w:rsidR="00467BD9" w:rsidRPr="00467BD9">
        <w:rPr>
          <w:rFonts w:ascii="Times New Roman" w:eastAsia="MS Mincho" w:hAnsi="Times New Roman" w:cs="Times New Roman"/>
          <w:lang w:eastAsia="ja-JP"/>
        </w:rPr>
        <w:t>Among these, CincCYP11051 showed significant upregulation in the PR strain following chlorantraniliprole exposure, suggesting a strong role in metabolic resistance.</w:t>
      </w:r>
      <w:r w:rsidRPr="00BE1FF3">
        <w:rPr>
          <w:rFonts w:ascii="Times New Roman" w:eastAsia="MS Mincho" w:hAnsi="Times New Roman" w:cs="Times New Roman"/>
          <w:lang w:eastAsia="ja-JP"/>
        </w:rPr>
        <w:t xml:space="preserve"> To develop a </w:t>
      </w:r>
      <w:r w:rsidR="00D510A7">
        <w:rPr>
          <w:rFonts w:ascii="Times New Roman" w:eastAsia="MS Mincho" w:hAnsi="Times New Roman" w:cs="Times New Roman"/>
          <w:lang w:eastAsia="ja-JP"/>
        </w:rPr>
        <w:t xml:space="preserve">rapid and accurate </w:t>
      </w:r>
      <w:r w:rsidRPr="00BE1FF3">
        <w:rPr>
          <w:rFonts w:ascii="Times New Roman" w:eastAsia="MS Mincho" w:hAnsi="Times New Roman" w:cs="Times New Roman"/>
          <w:lang w:eastAsia="ja-JP"/>
        </w:rPr>
        <w:t xml:space="preserve">molecular diagnostic marker, the strain-specific Y4667C mutation site </w:t>
      </w:r>
      <w:r w:rsidR="00E47892">
        <w:rPr>
          <w:rFonts w:ascii="Times New Roman" w:eastAsia="MS Mincho" w:hAnsi="Times New Roman" w:cs="Times New Roman"/>
          <w:lang w:eastAsia="ja-JP"/>
        </w:rPr>
        <w:t xml:space="preserve">of RyR </w:t>
      </w:r>
      <w:r w:rsidRPr="00BE1FF3">
        <w:rPr>
          <w:rFonts w:ascii="Times New Roman" w:eastAsia="MS Mincho" w:hAnsi="Times New Roman" w:cs="Times New Roman"/>
          <w:lang w:eastAsia="ja-JP"/>
        </w:rPr>
        <w:t xml:space="preserve">was tested using a PCR-RFLP assay, </w:t>
      </w:r>
      <w:r w:rsidR="00D510A7">
        <w:rPr>
          <w:rFonts w:ascii="Times New Roman" w:eastAsia="MS Mincho" w:hAnsi="Times New Roman" w:cs="Times New Roman"/>
          <w:lang w:eastAsia="ja-JP"/>
        </w:rPr>
        <w:t>al</w:t>
      </w:r>
      <w:r w:rsidRPr="00BE1FF3">
        <w:rPr>
          <w:rFonts w:ascii="Times New Roman" w:eastAsia="MS Mincho" w:hAnsi="Times New Roman" w:cs="Times New Roman"/>
          <w:lang w:eastAsia="ja-JP"/>
        </w:rPr>
        <w:t xml:space="preserve">though </w:t>
      </w:r>
      <w:r w:rsidR="00D510A7" w:rsidRPr="00D510A7">
        <w:rPr>
          <w:rFonts w:ascii="Times New Roman" w:eastAsia="MS Mincho" w:hAnsi="Times New Roman" w:cs="Times New Roman"/>
          <w:lang w:eastAsia="ja-JP"/>
        </w:rPr>
        <w:t>its direct association with diamide resistance remains inconclusive</w:t>
      </w:r>
      <w:r w:rsidR="00D510A7">
        <w:rPr>
          <w:rFonts w:ascii="Times New Roman" w:eastAsia="MS Mincho" w:hAnsi="Times New Roman" w:cs="Times New Roman"/>
          <w:lang w:eastAsia="ja-JP"/>
        </w:rPr>
        <w:t>.</w:t>
      </w:r>
      <w:r w:rsidRPr="00BE1FF3">
        <w:rPr>
          <w:rFonts w:ascii="Times New Roman" w:eastAsia="MS Mincho" w:hAnsi="Times New Roman" w:cs="Times New Roman"/>
          <w:lang w:eastAsia="ja-JP"/>
        </w:rPr>
        <w:t xml:space="preserve"> </w:t>
      </w:r>
      <w:r w:rsidR="006524D4" w:rsidRPr="006524D4">
        <w:rPr>
          <w:rFonts w:ascii="Times New Roman" w:eastAsia="MS Mincho" w:hAnsi="Times New Roman" w:cs="Times New Roman"/>
          <w:lang w:eastAsia="ja-JP"/>
        </w:rPr>
        <w:t>Nevertheless, it serves as a useful molecular marker for distinguishing PR-derived populations from inland populations.</w:t>
      </w:r>
      <w:r>
        <w:rPr>
          <w:rFonts w:ascii="Times New Roman" w:eastAsia="MS Mincho" w:hAnsi="Times New Roman" w:cs="Times New Roman"/>
          <w:lang w:eastAsia="ja-JP"/>
        </w:rPr>
        <w:t xml:space="preserve"> </w:t>
      </w:r>
      <w:r w:rsidR="008C318C" w:rsidRPr="008C318C">
        <w:rPr>
          <w:rFonts w:ascii="Times New Roman" w:eastAsia="MS Mincho" w:hAnsi="Times New Roman" w:cs="Times New Roman"/>
          <w:lang w:eastAsia="ja-JP"/>
        </w:rPr>
        <w:t>This research advances our understanding of soybean looper adaptation and provides molecular tools for resistance monitoring and management. Future studies will validate detoxification gene function, refine diagnostic markers, and assess the stability of resistance, contributing to more sustainable pest control strategies. The following sections provide details on individual research objectives.</w:t>
      </w:r>
      <w:r w:rsidR="000D7E43">
        <w:rPr>
          <w:rFonts w:ascii="Times New Roman" w:eastAsia="MS Mincho" w:hAnsi="Times New Roman" w:cs="Times New Roman"/>
          <w:lang w:eastAsia="ja-JP"/>
        </w:rPr>
        <w:t xml:space="preserve"> </w:t>
      </w:r>
    </w:p>
    <w:p w14:paraId="75C81731" w14:textId="453509E4" w:rsidR="00410EA6" w:rsidRDefault="00FC5A1A" w:rsidP="00D45E40">
      <w:pPr>
        <w:widowControl w:val="0"/>
        <w:autoSpaceDE w:val="0"/>
        <w:autoSpaceDN w:val="0"/>
        <w:spacing w:after="120" w:line="276" w:lineRule="auto"/>
        <w:rPr>
          <w:rFonts w:ascii="Times New Roman" w:eastAsia="MS Mincho" w:hAnsi="Times New Roman" w:cs="Times New Roman"/>
          <w:lang w:eastAsia="ja-JP"/>
        </w:rPr>
      </w:pPr>
      <w:r w:rsidRPr="00FC5A1A">
        <w:rPr>
          <w:rFonts w:ascii="Times New Roman" w:eastAsia="MS Mincho" w:hAnsi="Times New Roman" w:cs="Times New Roman"/>
          <w:lang w:eastAsia="ja-JP"/>
        </w:rPr>
        <w:t>The following sections provide details on individual research objectives</w:t>
      </w:r>
      <w:r w:rsidR="0013780E">
        <w:rPr>
          <w:rFonts w:ascii="Times New Roman" w:eastAsia="MS Mincho" w:hAnsi="Times New Roman" w:cs="Times New Roman"/>
          <w:lang w:eastAsia="ja-JP"/>
        </w:rPr>
        <w:t>:</w:t>
      </w:r>
    </w:p>
    <w:p w14:paraId="3C8988DA" w14:textId="77777777" w:rsidR="0013780E" w:rsidRDefault="0013780E" w:rsidP="00D45E40">
      <w:pPr>
        <w:widowControl w:val="0"/>
        <w:autoSpaceDE w:val="0"/>
        <w:autoSpaceDN w:val="0"/>
        <w:spacing w:after="120" w:line="276" w:lineRule="auto"/>
        <w:rPr>
          <w:rFonts w:ascii="Times New Roman" w:eastAsia="MS Mincho" w:hAnsi="Times New Roman" w:cs="Times New Roman"/>
          <w:lang w:eastAsia="ja-JP"/>
        </w:rPr>
      </w:pPr>
    </w:p>
    <w:p w14:paraId="0F7C0308" w14:textId="0DABC095" w:rsidR="00F64310" w:rsidRPr="006B14A4" w:rsidRDefault="00F64310" w:rsidP="00D45E40">
      <w:pPr>
        <w:widowControl w:val="0"/>
        <w:autoSpaceDE w:val="0"/>
        <w:autoSpaceDN w:val="0"/>
        <w:spacing w:after="120" w:line="276" w:lineRule="auto"/>
        <w:rPr>
          <w:rFonts w:ascii="Times New Roman" w:eastAsia="MS Mincho" w:hAnsi="Times New Roman" w:cs="Times New Roman"/>
          <w:u w:val="single"/>
          <w:lang w:eastAsia="ja-JP"/>
        </w:rPr>
      </w:pPr>
      <w:r w:rsidRPr="006B14A4">
        <w:rPr>
          <w:rFonts w:ascii="Times New Roman" w:eastAsia="MS Mincho" w:hAnsi="Times New Roman" w:cs="Times New Roman"/>
          <w:b/>
          <w:bCs/>
          <w:lang w:eastAsia="ja-JP"/>
        </w:rPr>
        <w:t>Objective 1:</w:t>
      </w:r>
      <w:r w:rsidRPr="006B14A4">
        <w:rPr>
          <w:rFonts w:ascii="Times New Roman" w:eastAsia="MS Mincho" w:hAnsi="Times New Roman" w:cs="Times New Roman"/>
          <w:lang w:eastAsia="ja-JP"/>
        </w:rPr>
        <w:t xml:space="preserve"> </w:t>
      </w:r>
      <w:r w:rsidR="003A1B2D" w:rsidRPr="003A1B2D">
        <w:rPr>
          <w:rFonts w:ascii="Times New Roman" w:eastAsia="MS Mincho" w:hAnsi="Times New Roman" w:cs="Times New Roman"/>
          <w:u w:val="single"/>
          <w:lang w:eastAsia="ja-JP"/>
        </w:rPr>
        <w:t>Establish and bioassay a diamide-resistant soybean looper strain.</w:t>
      </w:r>
    </w:p>
    <w:p w14:paraId="1DE27154" w14:textId="1E6E38DD" w:rsidR="008725F8" w:rsidRPr="008725F8" w:rsidRDefault="008725F8" w:rsidP="008725F8">
      <w:pPr>
        <w:widowControl w:val="0"/>
        <w:autoSpaceDE w:val="0"/>
        <w:autoSpaceDN w:val="0"/>
        <w:spacing w:after="120" w:line="276" w:lineRule="auto"/>
        <w:rPr>
          <w:rFonts w:ascii="Times New Roman" w:eastAsia="MS Mincho" w:hAnsi="Times New Roman" w:cs="Times New Roman"/>
          <w:lang w:eastAsia="ja-JP"/>
        </w:rPr>
      </w:pPr>
      <w:r w:rsidRPr="008725F8">
        <w:rPr>
          <w:rFonts w:ascii="Times New Roman" w:eastAsia="MS Mincho" w:hAnsi="Times New Roman" w:cs="Times New Roman"/>
          <w:lang w:eastAsia="ja-JP"/>
        </w:rPr>
        <w:t xml:space="preserve">Developing a stable and reliable diamide-resistant </w:t>
      </w:r>
      <w:r w:rsidR="000134BF" w:rsidRPr="000134BF">
        <w:rPr>
          <w:rFonts w:ascii="Times New Roman" w:eastAsia="MS Mincho" w:hAnsi="Times New Roman" w:cs="Times New Roman"/>
          <w:lang w:eastAsia="ja-JP"/>
        </w:rPr>
        <w:t xml:space="preserve">soybean looper </w:t>
      </w:r>
      <w:r w:rsidRPr="008725F8">
        <w:rPr>
          <w:rFonts w:ascii="Times New Roman" w:eastAsia="MS Mincho" w:hAnsi="Times New Roman" w:cs="Times New Roman"/>
          <w:lang w:eastAsia="ja-JP"/>
        </w:rPr>
        <w:t xml:space="preserve">colony is essential for studying resistance mechanisms and evaluating management strategies. The initial step involved collecting field populations from multiple locations </w:t>
      </w:r>
      <w:r w:rsidR="00A963D0">
        <w:rPr>
          <w:rFonts w:ascii="Times New Roman" w:eastAsia="MS Mincho" w:hAnsi="Times New Roman" w:cs="Times New Roman"/>
          <w:lang w:eastAsia="ja-JP"/>
        </w:rPr>
        <w:t>including Puerto Rico</w:t>
      </w:r>
      <w:r w:rsidRPr="008725F8">
        <w:rPr>
          <w:rFonts w:ascii="Times New Roman" w:eastAsia="MS Mincho" w:hAnsi="Times New Roman" w:cs="Times New Roman"/>
          <w:lang w:eastAsia="ja-JP"/>
        </w:rPr>
        <w:t xml:space="preserve">. These populations were reared under controlled laboratory conditions and subjected to chlorantraniliprole exposure to </w:t>
      </w:r>
      <w:r w:rsidR="00A963D0">
        <w:rPr>
          <w:rFonts w:ascii="Times New Roman" w:eastAsia="MS Mincho" w:hAnsi="Times New Roman" w:cs="Times New Roman"/>
          <w:lang w:eastAsia="ja-JP"/>
        </w:rPr>
        <w:t>test</w:t>
      </w:r>
      <w:r w:rsidRPr="008725F8">
        <w:rPr>
          <w:rFonts w:ascii="Times New Roman" w:eastAsia="MS Mincho" w:hAnsi="Times New Roman" w:cs="Times New Roman"/>
          <w:lang w:eastAsia="ja-JP"/>
        </w:rPr>
        <w:t xml:space="preserve"> for resistan</w:t>
      </w:r>
      <w:r w:rsidR="00A963D0">
        <w:rPr>
          <w:rFonts w:ascii="Times New Roman" w:eastAsia="MS Mincho" w:hAnsi="Times New Roman" w:cs="Times New Roman"/>
          <w:lang w:eastAsia="ja-JP"/>
        </w:rPr>
        <w:t>ce.</w:t>
      </w:r>
      <w:r w:rsidRPr="008725F8">
        <w:rPr>
          <w:rFonts w:ascii="Times New Roman" w:eastAsia="MS Mincho" w:hAnsi="Times New Roman" w:cs="Times New Roman"/>
          <w:lang w:eastAsia="ja-JP"/>
        </w:rPr>
        <w:t xml:space="preserve"> </w:t>
      </w:r>
    </w:p>
    <w:p w14:paraId="2C414877" w14:textId="5714FBD5" w:rsidR="008725F8" w:rsidRPr="008725F8" w:rsidRDefault="008725F8" w:rsidP="008725F8">
      <w:pPr>
        <w:widowControl w:val="0"/>
        <w:autoSpaceDE w:val="0"/>
        <w:autoSpaceDN w:val="0"/>
        <w:spacing w:after="120" w:line="276" w:lineRule="auto"/>
        <w:rPr>
          <w:rFonts w:ascii="Times New Roman" w:eastAsia="MS Mincho" w:hAnsi="Times New Roman" w:cs="Times New Roman"/>
          <w:lang w:eastAsia="ja-JP"/>
        </w:rPr>
      </w:pPr>
      <w:r w:rsidRPr="008725F8">
        <w:rPr>
          <w:rFonts w:ascii="Times New Roman" w:eastAsia="MS Mincho" w:hAnsi="Times New Roman" w:cs="Times New Roman"/>
          <w:lang w:eastAsia="ja-JP"/>
        </w:rPr>
        <w:t xml:space="preserve">To </w:t>
      </w:r>
      <w:r w:rsidR="0028568D">
        <w:rPr>
          <w:rFonts w:ascii="Times New Roman" w:eastAsia="MS Mincho" w:hAnsi="Times New Roman" w:cs="Times New Roman"/>
          <w:lang w:eastAsia="ja-JP"/>
        </w:rPr>
        <w:t xml:space="preserve">measure the degree of </w:t>
      </w:r>
      <w:r w:rsidRPr="008725F8">
        <w:rPr>
          <w:rFonts w:ascii="Times New Roman" w:eastAsia="MS Mincho" w:hAnsi="Times New Roman" w:cs="Times New Roman"/>
          <w:lang w:eastAsia="ja-JP"/>
        </w:rPr>
        <w:t>resistance</w:t>
      </w:r>
      <w:r w:rsidR="0099626C">
        <w:rPr>
          <w:rFonts w:ascii="Times New Roman" w:eastAsia="MS Mincho" w:hAnsi="Times New Roman" w:cs="Times New Roman"/>
          <w:lang w:eastAsia="ja-JP"/>
        </w:rPr>
        <w:t xml:space="preserve"> to </w:t>
      </w:r>
      <w:r w:rsidR="0099626C" w:rsidRPr="0099626C">
        <w:rPr>
          <w:rFonts w:ascii="Times New Roman" w:eastAsia="MS Mincho" w:hAnsi="Times New Roman" w:cs="Times New Roman"/>
          <w:lang w:eastAsia="ja-JP"/>
        </w:rPr>
        <w:t>chlorantraniliprole</w:t>
      </w:r>
      <w:r w:rsidRPr="008725F8">
        <w:rPr>
          <w:rFonts w:ascii="Times New Roman" w:eastAsia="MS Mincho" w:hAnsi="Times New Roman" w:cs="Times New Roman"/>
          <w:lang w:eastAsia="ja-JP"/>
        </w:rPr>
        <w:t>, we conducted bioassays using third-instar larvae. The lethal concentration required to kill 50% of the population (LC</w:t>
      </w:r>
      <w:r w:rsidRPr="00483577">
        <w:rPr>
          <w:rFonts w:ascii="Times New Roman" w:eastAsia="MS Mincho" w:hAnsi="Times New Roman" w:cs="Times New Roman"/>
          <w:vertAlign w:val="subscript"/>
          <w:lang w:eastAsia="ja-JP"/>
        </w:rPr>
        <w:t>50</w:t>
      </w:r>
      <w:r w:rsidRPr="008725F8">
        <w:rPr>
          <w:rFonts w:ascii="Times New Roman" w:eastAsia="MS Mincho" w:hAnsi="Times New Roman" w:cs="Times New Roman"/>
          <w:lang w:eastAsia="ja-JP"/>
        </w:rPr>
        <w:t>) was determined for each generation. A susceptible lab strain was maintained for comparative analysis. By the second year, we had established a resistant colony with an RR of approximately 10-fold compared to the susceptible strain</w:t>
      </w:r>
      <w:r w:rsidR="002944DA">
        <w:rPr>
          <w:rFonts w:ascii="Times New Roman" w:eastAsia="MS Mincho" w:hAnsi="Times New Roman" w:cs="Times New Roman"/>
          <w:lang w:eastAsia="ja-JP"/>
        </w:rPr>
        <w:t xml:space="preserve"> (Table 1)</w:t>
      </w:r>
      <w:r w:rsidRPr="008725F8">
        <w:rPr>
          <w:rFonts w:ascii="Times New Roman" w:eastAsia="MS Mincho" w:hAnsi="Times New Roman" w:cs="Times New Roman"/>
          <w:lang w:eastAsia="ja-JP"/>
        </w:rPr>
        <w:t>. Additional tests revealed moderate cross-resistance to other diamides, including cyantraniliprole and flubendiamide. Field strains from Louisiana, Mississippi, and Puerto Rico were incorporated into resistance monitoring to assess geographic variations.</w:t>
      </w:r>
    </w:p>
    <w:p w14:paraId="2F648F7E" w14:textId="5F36EC3D" w:rsidR="008725F8" w:rsidRDefault="008725F8" w:rsidP="008725F8">
      <w:pPr>
        <w:widowControl w:val="0"/>
        <w:autoSpaceDE w:val="0"/>
        <w:autoSpaceDN w:val="0"/>
        <w:spacing w:after="120" w:line="276" w:lineRule="auto"/>
        <w:rPr>
          <w:rFonts w:ascii="Times New Roman" w:eastAsia="MS Mincho" w:hAnsi="Times New Roman" w:cs="Times New Roman"/>
          <w:lang w:eastAsia="ja-JP"/>
        </w:rPr>
      </w:pPr>
      <w:r w:rsidRPr="008725F8">
        <w:rPr>
          <w:rFonts w:ascii="Times New Roman" w:eastAsia="MS Mincho" w:hAnsi="Times New Roman" w:cs="Times New Roman"/>
          <w:lang w:eastAsia="ja-JP"/>
        </w:rPr>
        <w:t>In the third year, efforts focused on stabilizing resistance levels while maintaining colony health and genetic diversity. Additional studies examined fitness costs associated with resistance, including developmental time, fecundity, and survival in the absence of insecticide pressure. Interestingly, resistant strains exhibited slightly slower development and reduced reproductive output, suggesting a trade-off that could influence resistance dynamics in field populations. This resistant colony now serves as a critical resource for molecular and biochemical studies on resistance mechanisms.</w:t>
      </w:r>
    </w:p>
    <w:p w14:paraId="17593325" w14:textId="3D765A4B" w:rsidR="00412460" w:rsidRPr="00412460" w:rsidRDefault="00412460" w:rsidP="00412460">
      <w:pPr>
        <w:widowControl w:val="0"/>
        <w:autoSpaceDE w:val="0"/>
        <w:autoSpaceDN w:val="0"/>
        <w:spacing w:after="120" w:line="276" w:lineRule="auto"/>
        <w:rPr>
          <w:rFonts w:ascii="Times New Roman" w:eastAsia="MS Mincho" w:hAnsi="Times New Roman" w:cs="Times New Roman"/>
          <w:lang w:eastAsia="ja-JP"/>
        </w:rPr>
      </w:pPr>
      <w:r w:rsidRPr="00412460">
        <w:rPr>
          <w:rFonts w:ascii="Times New Roman" w:eastAsia="MS Mincho" w:hAnsi="Times New Roman" w:cs="Times New Roman"/>
          <w:lang w:eastAsia="ja-JP"/>
        </w:rPr>
        <w:lastRenderedPageBreak/>
        <w:t>Bioassays were conducted on F3 and F5 progenies of the PR21 population and the F2 progeny of PR24mix to assess chlorantraniliprole resistance. Third-instar larvae (20–40 mg) were fed an artificial diet treated with six concentrations of chlorantraniliprole in rearing cups. A minimum of 120 larvae per strain per generation were tested for PR21, while PR24mix had at least 150 larvae per replicate</w:t>
      </w:r>
      <w:r w:rsidR="006328F5">
        <w:rPr>
          <w:rFonts w:ascii="Times New Roman" w:eastAsia="MS Mincho" w:hAnsi="Times New Roman" w:cs="Times New Roman"/>
          <w:lang w:eastAsia="ja-JP"/>
        </w:rPr>
        <w:t xml:space="preserve">. </w:t>
      </w:r>
      <w:r w:rsidRPr="00412460">
        <w:rPr>
          <w:rFonts w:ascii="Times New Roman" w:eastAsia="MS Mincho" w:hAnsi="Times New Roman" w:cs="Times New Roman"/>
          <w:lang w:eastAsia="ja-JP"/>
        </w:rPr>
        <w:t>PR21 exhibited moderate resistance (10×) to chlorantraniliprole, maintaining consistency across F3 and F5 generations, indicating a potential genetic basis. In contrast, PR24 displayed minimal resistance (1.5×), suggesting a lack of significant adaptation to the insecticide.</w:t>
      </w:r>
    </w:p>
    <w:p w14:paraId="4203770B" w14:textId="5C905F84" w:rsidR="00155721" w:rsidRDefault="00412460" w:rsidP="00412460">
      <w:pPr>
        <w:widowControl w:val="0"/>
        <w:autoSpaceDE w:val="0"/>
        <w:autoSpaceDN w:val="0"/>
        <w:spacing w:after="120" w:line="276" w:lineRule="auto"/>
        <w:rPr>
          <w:rFonts w:ascii="Times New Roman" w:eastAsia="MS Mincho" w:hAnsi="Times New Roman" w:cs="Times New Roman"/>
          <w:lang w:eastAsia="ja-JP"/>
        </w:rPr>
      </w:pPr>
      <w:r w:rsidRPr="00412460">
        <w:rPr>
          <w:rFonts w:ascii="Times New Roman" w:eastAsia="MS Mincho" w:hAnsi="Times New Roman" w:cs="Times New Roman"/>
          <w:lang w:eastAsia="ja-JP"/>
        </w:rPr>
        <w:t>These findings highlight the persistence of chlorantraniliprole resistance in PR21, emphasizing the need for further investigation into its genetic mechanisms. Understanding the molecular mechanisms underlying diamide resistance in soybean looper is crucial for effective pest management. Our study further explores target-site mutations (Objective 2) and metabolic detoxification (Objective 3) to determine key contributors to resistance.</w:t>
      </w:r>
    </w:p>
    <w:p w14:paraId="6AC1CD33" w14:textId="77777777" w:rsidR="00300F3F" w:rsidRDefault="00300F3F" w:rsidP="00412460">
      <w:pPr>
        <w:widowControl w:val="0"/>
        <w:autoSpaceDE w:val="0"/>
        <w:autoSpaceDN w:val="0"/>
        <w:spacing w:after="120" w:line="276" w:lineRule="auto"/>
        <w:rPr>
          <w:rFonts w:ascii="Times New Roman" w:eastAsia="MS Mincho" w:hAnsi="Times New Roman" w:cs="Times New Roman"/>
          <w:lang w:eastAsia="ja-JP"/>
        </w:rPr>
      </w:pPr>
    </w:p>
    <w:p w14:paraId="4C1724B5" w14:textId="35F07336" w:rsidR="004A3FD9" w:rsidRPr="005C0FAB" w:rsidRDefault="005C0FAB" w:rsidP="00D45E40">
      <w:pPr>
        <w:widowControl w:val="0"/>
        <w:autoSpaceDE w:val="0"/>
        <w:autoSpaceDN w:val="0"/>
        <w:spacing w:after="120" w:line="276" w:lineRule="auto"/>
        <w:rPr>
          <w:rFonts w:ascii="Times New Roman" w:eastAsia="MS Mincho" w:hAnsi="Times New Roman" w:cs="Times New Roman"/>
          <w:u w:val="single"/>
          <w:lang w:eastAsia="ja-JP"/>
        </w:rPr>
      </w:pPr>
      <w:r w:rsidRPr="005C0FAB">
        <w:rPr>
          <w:rFonts w:ascii="Times New Roman" w:eastAsia="MS Mincho" w:hAnsi="Times New Roman" w:cs="Times New Roman"/>
          <w:b/>
          <w:bCs/>
          <w:lang w:eastAsia="ja-JP"/>
        </w:rPr>
        <w:t xml:space="preserve">Objective </w:t>
      </w:r>
      <w:r w:rsidR="00D85263">
        <w:rPr>
          <w:rFonts w:ascii="Times New Roman" w:eastAsia="MS Mincho" w:hAnsi="Times New Roman" w:cs="Times New Roman"/>
          <w:b/>
          <w:bCs/>
          <w:lang w:eastAsia="ja-JP"/>
        </w:rPr>
        <w:t>2</w:t>
      </w:r>
      <w:r w:rsidRPr="005C0FAB">
        <w:rPr>
          <w:rFonts w:ascii="Times New Roman" w:eastAsia="MS Mincho" w:hAnsi="Times New Roman" w:cs="Times New Roman"/>
          <w:b/>
          <w:bCs/>
          <w:lang w:eastAsia="ja-JP"/>
        </w:rPr>
        <w:t>:</w:t>
      </w:r>
      <w:r w:rsidRPr="005C0FAB">
        <w:rPr>
          <w:rFonts w:ascii="Times New Roman" w:eastAsia="MS Mincho" w:hAnsi="Times New Roman" w:cs="Times New Roman"/>
          <w:lang w:eastAsia="ja-JP"/>
        </w:rPr>
        <w:t xml:space="preserve"> </w:t>
      </w:r>
      <w:r w:rsidR="003A1B2D" w:rsidRPr="003A1B2D">
        <w:rPr>
          <w:rFonts w:ascii="Times New Roman" w:eastAsia="MS Mincho" w:hAnsi="Times New Roman" w:cs="Times New Roman"/>
          <w:u w:val="single"/>
          <w:lang w:eastAsia="ja-JP"/>
        </w:rPr>
        <w:t>Analyze ryanodine receptor (RyR) for target-site resistance.</w:t>
      </w:r>
    </w:p>
    <w:p w14:paraId="64538548" w14:textId="5797F835" w:rsidR="005121BC" w:rsidRDefault="005121BC" w:rsidP="005121BC">
      <w:pPr>
        <w:widowControl w:val="0"/>
        <w:autoSpaceDE w:val="0"/>
        <w:autoSpaceDN w:val="0"/>
        <w:spacing w:after="120" w:line="276" w:lineRule="auto"/>
        <w:rPr>
          <w:rFonts w:ascii="Times New Roman" w:eastAsia="MS Mincho" w:hAnsi="Times New Roman" w:cs="Times New Roman"/>
          <w:lang w:eastAsia="ja-JP"/>
        </w:rPr>
      </w:pPr>
      <w:r>
        <w:rPr>
          <w:rFonts w:ascii="Times New Roman" w:eastAsia="MS Mincho" w:hAnsi="Times New Roman" w:cs="Times New Roman"/>
          <w:lang w:eastAsia="ja-JP"/>
        </w:rPr>
        <w:t xml:space="preserve">First of all, </w:t>
      </w:r>
      <w:r w:rsidRPr="005121BC">
        <w:rPr>
          <w:rFonts w:ascii="Times New Roman" w:eastAsia="MS Mincho" w:hAnsi="Times New Roman" w:cs="Times New Roman"/>
          <w:lang w:eastAsia="ja-JP"/>
        </w:rPr>
        <w:t>the full‐length cDNA of the RyR</w:t>
      </w:r>
      <w:r>
        <w:rPr>
          <w:rFonts w:ascii="Times New Roman" w:eastAsia="MS Mincho" w:hAnsi="Times New Roman" w:cs="Times New Roman"/>
          <w:lang w:eastAsia="ja-JP"/>
        </w:rPr>
        <w:t xml:space="preserve"> </w:t>
      </w:r>
      <w:r w:rsidRPr="005121BC">
        <w:rPr>
          <w:rFonts w:ascii="Times New Roman" w:eastAsia="MS Mincho" w:hAnsi="Times New Roman" w:cs="Times New Roman"/>
          <w:lang w:eastAsia="ja-JP"/>
        </w:rPr>
        <w:t>gene</w:t>
      </w:r>
      <w:r>
        <w:rPr>
          <w:rFonts w:ascii="Times New Roman" w:eastAsia="MS Mincho" w:hAnsi="Times New Roman" w:cs="Times New Roman"/>
          <w:lang w:eastAsia="ja-JP"/>
        </w:rPr>
        <w:t xml:space="preserve"> was identified from soybean looper</w:t>
      </w:r>
      <w:r w:rsidRPr="005121BC">
        <w:rPr>
          <w:rFonts w:ascii="Times New Roman" w:eastAsia="MS Mincho" w:hAnsi="Times New Roman" w:cs="Times New Roman"/>
          <w:lang w:eastAsia="ja-JP"/>
        </w:rPr>
        <w:t>, which includes a 15,375 bp-long open reading frame (ORF) encoding a single RyR subunit of 5,124 aa-long protein.</w:t>
      </w:r>
      <w:r>
        <w:rPr>
          <w:rFonts w:ascii="Times New Roman" w:eastAsia="MS Mincho" w:hAnsi="Times New Roman" w:cs="Times New Roman"/>
          <w:lang w:eastAsia="ja-JP"/>
        </w:rPr>
        <w:t xml:space="preserve"> </w:t>
      </w:r>
      <w:r w:rsidRPr="005121BC">
        <w:rPr>
          <w:rFonts w:ascii="Times New Roman" w:eastAsia="MS Mincho" w:hAnsi="Times New Roman" w:cs="Times New Roman"/>
          <w:lang w:eastAsia="ja-JP"/>
        </w:rPr>
        <w:t>Genomic analysis revealed that the RyR gene</w:t>
      </w:r>
      <w:r>
        <w:rPr>
          <w:rFonts w:ascii="Times New Roman" w:eastAsia="MS Mincho" w:hAnsi="Times New Roman" w:cs="Times New Roman"/>
          <w:lang w:eastAsia="ja-JP"/>
        </w:rPr>
        <w:t xml:space="preserve"> </w:t>
      </w:r>
      <w:r w:rsidRPr="005121BC">
        <w:rPr>
          <w:rFonts w:ascii="Times New Roman" w:eastAsia="MS Mincho" w:hAnsi="Times New Roman" w:cs="Times New Roman"/>
          <w:lang w:eastAsia="ja-JP"/>
        </w:rPr>
        <w:t>consists of 11</w:t>
      </w:r>
      <w:r>
        <w:rPr>
          <w:rFonts w:ascii="Times New Roman" w:eastAsia="MS Mincho" w:hAnsi="Times New Roman" w:cs="Times New Roman"/>
          <w:lang w:eastAsia="ja-JP"/>
        </w:rPr>
        <w:t>3</w:t>
      </w:r>
      <w:r w:rsidRPr="005121BC">
        <w:rPr>
          <w:rFonts w:ascii="Times New Roman" w:eastAsia="MS Mincho" w:hAnsi="Times New Roman" w:cs="Times New Roman"/>
          <w:lang w:eastAsia="ja-JP"/>
        </w:rPr>
        <w:t xml:space="preserve"> exons,</w:t>
      </w:r>
      <w:r>
        <w:rPr>
          <w:rFonts w:ascii="Times New Roman" w:eastAsia="MS Mincho" w:hAnsi="Times New Roman" w:cs="Times New Roman"/>
          <w:lang w:eastAsia="ja-JP"/>
        </w:rPr>
        <w:t xml:space="preserve"> </w:t>
      </w:r>
      <w:r w:rsidRPr="005121BC">
        <w:rPr>
          <w:rFonts w:ascii="Times New Roman" w:eastAsia="MS Mincho" w:hAnsi="Times New Roman" w:cs="Times New Roman"/>
          <w:lang w:eastAsia="ja-JP"/>
        </w:rPr>
        <w:t>span</w:t>
      </w:r>
      <w:r>
        <w:rPr>
          <w:rFonts w:ascii="Times New Roman" w:eastAsia="MS Mincho" w:hAnsi="Times New Roman" w:cs="Times New Roman"/>
          <w:lang w:eastAsia="ja-JP"/>
        </w:rPr>
        <w:t>ning</w:t>
      </w:r>
      <w:r w:rsidRPr="005121BC">
        <w:rPr>
          <w:rFonts w:ascii="Times New Roman" w:eastAsia="MS Mincho" w:hAnsi="Times New Roman" w:cs="Times New Roman"/>
          <w:lang w:eastAsia="ja-JP"/>
        </w:rPr>
        <w:t xml:space="preserve"> a length of 171,788 bp in </w:t>
      </w:r>
      <w:r>
        <w:rPr>
          <w:rFonts w:ascii="Times New Roman" w:eastAsia="MS Mincho" w:hAnsi="Times New Roman" w:cs="Times New Roman"/>
          <w:lang w:eastAsia="ja-JP"/>
        </w:rPr>
        <w:t>its genomic s</w:t>
      </w:r>
      <w:r w:rsidRPr="005121BC">
        <w:rPr>
          <w:rFonts w:ascii="Times New Roman" w:eastAsia="MS Mincho" w:hAnsi="Times New Roman" w:cs="Times New Roman"/>
          <w:lang w:eastAsia="ja-JP"/>
        </w:rPr>
        <w:t>caffold</w:t>
      </w:r>
      <w:r>
        <w:rPr>
          <w:rFonts w:ascii="Times New Roman" w:eastAsia="MS Mincho" w:hAnsi="Times New Roman" w:cs="Times New Roman"/>
          <w:lang w:eastAsia="ja-JP"/>
        </w:rPr>
        <w:t>.</w:t>
      </w:r>
    </w:p>
    <w:p w14:paraId="53FC7CB7" w14:textId="5BA1AC15" w:rsidR="0032371F" w:rsidRPr="0032371F" w:rsidRDefault="0032371F" w:rsidP="00D45E40">
      <w:pPr>
        <w:widowControl w:val="0"/>
        <w:autoSpaceDE w:val="0"/>
        <w:autoSpaceDN w:val="0"/>
        <w:spacing w:after="120" w:line="276" w:lineRule="auto"/>
        <w:rPr>
          <w:rFonts w:ascii="Times New Roman" w:eastAsia="MS Mincho" w:hAnsi="Times New Roman" w:cs="Times New Roman"/>
          <w:lang w:eastAsia="ja-JP"/>
        </w:rPr>
      </w:pPr>
      <w:r w:rsidRPr="0032371F">
        <w:rPr>
          <w:rFonts w:ascii="Times New Roman" w:eastAsia="MS Mincho" w:hAnsi="Times New Roman" w:cs="Times New Roman"/>
          <w:lang w:eastAsia="ja-JP"/>
        </w:rPr>
        <w:t>A frequency analysis was conducted on six known ryanodine receptor (RyR) mutation sites, including I4790M/K, G4946E, E1338D, Q4594L, Y4891F, and Y4667C/D. Among these, Y4667C/D emerged as a key mutation in PR21</w:t>
      </w:r>
      <w:r w:rsidR="001A5007">
        <w:rPr>
          <w:rFonts w:ascii="Times New Roman" w:eastAsia="MS Mincho" w:hAnsi="Times New Roman" w:cs="Times New Roman"/>
          <w:lang w:eastAsia="ja-JP"/>
        </w:rPr>
        <w:t xml:space="preserve"> (Fig. 2)</w:t>
      </w:r>
      <w:r w:rsidRPr="0032371F">
        <w:rPr>
          <w:rFonts w:ascii="Times New Roman" w:eastAsia="MS Mincho" w:hAnsi="Times New Roman" w:cs="Times New Roman"/>
          <w:lang w:eastAsia="ja-JP"/>
        </w:rPr>
        <w:t>. Sanger sequencing of 40 individuals from PR21 revealed that 61% were homozygous mutants (RR), 30% were heterozygous (SR), and 3% were homozygous susceptible (SS)</w:t>
      </w:r>
      <w:r w:rsidR="00D511CD">
        <w:rPr>
          <w:rFonts w:ascii="Times New Roman" w:eastAsia="MS Mincho" w:hAnsi="Times New Roman" w:cs="Times New Roman"/>
          <w:lang w:eastAsia="ja-JP"/>
        </w:rPr>
        <w:t xml:space="preserve"> (Table 2)</w:t>
      </w:r>
      <w:r w:rsidRPr="0032371F">
        <w:rPr>
          <w:rFonts w:ascii="Times New Roman" w:eastAsia="MS Mincho" w:hAnsi="Times New Roman" w:cs="Times New Roman"/>
          <w:lang w:eastAsia="ja-JP"/>
        </w:rPr>
        <w:t xml:space="preserve">. This mutation was further validated using a </w:t>
      </w:r>
      <w:r w:rsidRPr="00991947">
        <w:rPr>
          <w:rFonts w:ascii="Times New Roman" w:eastAsia="MS Mincho" w:hAnsi="Times New Roman" w:cs="Times New Roman"/>
          <w:i/>
          <w:iCs/>
          <w:lang w:eastAsia="ja-JP"/>
        </w:rPr>
        <w:t>Tai</w:t>
      </w:r>
      <w:r w:rsidRPr="0032371F">
        <w:rPr>
          <w:rFonts w:ascii="Times New Roman" w:eastAsia="MS Mincho" w:hAnsi="Times New Roman" w:cs="Times New Roman"/>
          <w:lang w:eastAsia="ja-JP"/>
        </w:rPr>
        <w:t>I restriction enzyme-based screening method, which confirmed the mutation frequency. Optimization experiments determined that incubation at 65°C for 10 minutes was ideal for enzymatic digestion</w:t>
      </w:r>
      <w:r w:rsidR="00B95D9E">
        <w:rPr>
          <w:rFonts w:ascii="Times New Roman" w:eastAsia="MS Mincho" w:hAnsi="Times New Roman" w:cs="Times New Roman"/>
          <w:lang w:eastAsia="ja-JP"/>
        </w:rPr>
        <w:t xml:space="preserve"> (Fig. 3)</w:t>
      </w:r>
      <w:r w:rsidRPr="0032371F">
        <w:rPr>
          <w:rFonts w:ascii="Times New Roman" w:eastAsia="MS Mincho" w:hAnsi="Times New Roman" w:cs="Times New Roman"/>
          <w:lang w:eastAsia="ja-JP"/>
        </w:rPr>
        <w:t>.</w:t>
      </w:r>
      <w:r w:rsidR="008D20E2">
        <w:rPr>
          <w:rFonts w:ascii="Times New Roman" w:eastAsia="MS Mincho" w:hAnsi="Times New Roman" w:cs="Times New Roman"/>
          <w:lang w:eastAsia="ja-JP"/>
        </w:rPr>
        <w:t xml:space="preserve"> </w:t>
      </w:r>
      <w:r w:rsidRPr="0032371F">
        <w:rPr>
          <w:rFonts w:ascii="Times New Roman" w:eastAsia="MS Mincho" w:hAnsi="Times New Roman" w:cs="Times New Roman"/>
          <w:lang w:eastAsia="ja-JP"/>
        </w:rPr>
        <w:t>Further screenings were conducted for PR24 and PR24mix populations. In PR24, the Y4667C mutation was present at frequencies of 56% (RR), 38% (SR), and 6% (SS), while in PR24mix, the frequencies were 25% (RR), 50% (SR), and 25% (SS). These results indicated that the mutation was widespread but varied among populations.</w:t>
      </w:r>
      <w:r w:rsidR="002D418E">
        <w:rPr>
          <w:rFonts w:ascii="Times New Roman" w:eastAsia="MS Mincho" w:hAnsi="Times New Roman" w:cs="Times New Roman"/>
          <w:lang w:eastAsia="ja-JP"/>
        </w:rPr>
        <w:t xml:space="preserve"> </w:t>
      </w:r>
    </w:p>
    <w:p w14:paraId="33B0AA2F" w14:textId="079206F9" w:rsidR="00010515" w:rsidRDefault="0032371F" w:rsidP="00D45E40">
      <w:pPr>
        <w:widowControl w:val="0"/>
        <w:autoSpaceDE w:val="0"/>
        <w:autoSpaceDN w:val="0"/>
        <w:spacing w:after="120" w:line="276" w:lineRule="auto"/>
        <w:rPr>
          <w:rFonts w:ascii="Times New Roman" w:eastAsia="MS Mincho" w:hAnsi="Times New Roman" w:cs="Times New Roman"/>
          <w:lang w:eastAsia="ja-JP"/>
        </w:rPr>
      </w:pPr>
      <w:r w:rsidRPr="0032371F">
        <w:rPr>
          <w:rFonts w:ascii="Times New Roman" w:eastAsia="MS Mincho" w:hAnsi="Times New Roman" w:cs="Times New Roman"/>
          <w:lang w:eastAsia="ja-JP"/>
        </w:rPr>
        <w:t xml:space="preserve">To assess the prevalence of Y4667C in field populations, four regional populations (TN, LA, MS1, MS2) were screened using the </w:t>
      </w:r>
      <w:r w:rsidRPr="00991947">
        <w:rPr>
          <w:rFonts w:ascii="Times New Roman" w:eastAsia="MS Mincho" w:hAnsi="Times New Roman" w:cs="Times New Roman"/>
          <w:i/>
          <w:iCs/>
          <w:lang w:eastAsia="ja-JP"/>
        </w:rPr>
        <w:t>Tai</w:t>
      </w:r>
      <w:r w:rsidRPr="0032371F">
        <w:rPr>
          <w:rFonts w:ascii="Times New Roman" w:eastAsia="MS Mincho" w:hAnsi="Times New Roman" w:cs="Times New Roman"/>
          <w:lang w:eastAsia="ja-JP"/>
        </w:rPr>
        <w:t>I restriction enzyme method. No homozygous mutants (RR) were detected in these populations, though heterozygotes (SR) were present at varying frequencies. The TN population had 5% RR, 60% SS, and 35% SR, while the LA population had 0.3% RR, 90% SS, and 0.97% SR. Similarly, in MS1, the frequencies were 8.6% RR, 50% SS, and 41.4% SR, while MS2 had 3% RR, 70% SS, and 27% SR</w:t>
      </w:r>
      <w:r w:rsidR="00C85414">
        <w:rPr>
          <w:rFonts w:ascii="Times New Roman" w:eastAsia="MS Mincho" w:hAnsi="Times New Roman" w:cs="Times New Roman"/>
          <w:lang w:eastAsia="ja-JP"/>
        </w:rPr>
        <w:t xml:space="preserve"> (Fig. 4)</w:t>
      </w:r>
      <w:r w:rsidRPr="0032371F">
        <w:rPr>
          <w:rFonts w:ascii="Times New Roman" w:eastAsia="MS Mincho" w:hAnsi="Times New Roman" w:cs="Times New Roman"/>
          <w:lang w:eastAsia="ja-JP"/>
        </w:rPr>
        <w:t>.</w:t>
      </w:r>
      <w:r w:rsidR="002D418E">
        <w:rPr>
          <w:rFonts w:ascii="Times New Roman" w:eastAsia="MS Mincho" w:hAnsi="Times New Roman" w:cs="Times New Roman"/>
          <w:lang w:eastAsia="ja-JP"/>
        </w:rPr>
        <w:t xml:space="preserve"> </w:t>
      </w:r>
    </w:p>
    <w:p w14:paraId="4F6D4865" w14:textId="79987DAC" w:rsidR="0032371F" w:rsidRPr="0032371F" w:rsidRDefault="0032371F" w:rsidP="00D45E40">
      <w:pPr>
        <w:widowControl w:val="0"/>
        <w:autoSpaceDE w:val="0"/>
        <w:autoSpaceDN w:val="0"/>
        <w:spacing w:after="120" w:line="276" w:lineRule="auto"/>
        <w:rPr>
          <w:rFonts w:ascii="Times New Roman" w:eastAsia="MS Mincho" w:hAnsi="Times New Roman" w:cs="Times New Roman"/>
          <w:lang w:eastAsia="ja-JP"/>
        </w:rPr>
      </w:pPr>
      <w:r w:rsidRPr="0032371F">
        <w:rPr>
          <w:rFonts w:ascii="Times New Roman" w:eastAsia="MS Mincho" w:hAnsi="Times New Roman" w:cs="Times New Roman"/>
          <w:lang w:eastAsia="ja-JP"/>
        </w:rPr>
        <w:t>To explore the potential association between the Y4667C mutation and chlorantraniliprole resistance, LC</w:t>
      </w:r>
      <w:r w:rsidRPr="005D1452">
        <w:rPr>
          <w:rFonts w:ascii="Times New Roman" w:eastAsia="MS Mincho" w:hAnsi="Times New Roman" w:cs="Times New Roman"/>
          <w:vertAlign w:val="subscript"/>
          <w:lang w:eastAsia="ja-JP"/>
        </w:rPr>
        <w:t>50</w:t>
      </w:r>
      <w:r w:rsidRPr="0032371F">
        <w:rPr>
          <w:rFonts w:ascii="Times New Roman" w:eastAsia="MS Mincho" w:hAnsi="Times New Roman" w:cs="Times New Roman"/>
          <w:lang w:eastAsia="ja-JP"/>
        </w:rPr>
        <w:t xml:space="preserve"> values were compared across eight soybean looper populations. No direct correlation was found between the mutation frequency and resistance levels, suggesting that additional factors contribute to resistance. While the high prevalence of the Y4667C mutation in PR21 suggests a possible role in </w:t>
      </w:r>
      <w:r w:rsidR="00991947">
        <w:rPr>
          <w:rFonts w:ascii="Times New Roman" w:eastAsia="MS Mincho" w:hAnsi="Times New Roman" w:cs="Times New Roman"/>
          <w:lang w:eastAsia="ja-JP"/>
        </w:rPr>
        <w:t xml:space="preserve">utilizing it as a geographical marker, </w:t>
      </w:r>
      <w:r w:rsidRPr="0032371F">
        <w:rPr>
          <w:rFonts w:ascii="Times New Roman" w:eastAsia="MS Mincho" w:hAnsi="Times New Roman" w:cs="Times New Roman"/>
          <w:lang w:eastAsia="ja-JP"/>
        </w:rPr>
        <w:t>functional validation</w:t>
      </w:r>
      <w:r w:rsidR="00991947">
        <w:rPr>
          <w:rFonts w:ascii="Times New Roman" w:eastAsia="MS Mincho" w:hAnsi="Times New Roman" w:cs="Times New Roman"/>
          <w:lang w:eastAsia="ja-JP"/>
        </w:rPr>
        <w:t xml:space="preserve"> in</w:t>
      </w:r>
      <w:r w:rsidRPr="0032371F">
        <w:rPr>
          <w:rFonts w:ascii="Times New Roman" w:eastAsia="MS Mincho" w:hAnsi="Times New Roman" w:cs="Times New Roman"/>
          <w:lang w:eastAsia="ja-JP"/>
        </w:rPr>
        <w:t xml:space="preserve"> </w:t>
      </w:r>
      <w:r w:rsidR="00991947" w:rsidRPr="00991947">
        <w:rPr>
          <w:rFonts w:ascii="Times New Roman" w:eastAsia="MS Mincho" w:hAnsi="Times New Roman" w:cs="Times New Roman"/>
          <w:lang w:eastAsia="ja-JP"/>
        </w:rPr>
        <w:t xml:space="preserve">association with resistance </w:t>
      </w:r>
      <w:r w:rsidRPr="0032371F">
        <w:rPr>
          <w:rFonts w:ascii="Times New Roman" w:eastAsia="MS Mincho" w:hAnsi="Times New Roman" w:cs="Times New Roman"/>
          <w:lang w:eastAsia="ja-JP"/>
        </w:rPr>
        <w:t xml:space="preserve">is required to </w:t>
      </w:r>
      <w:r w:rsidR="00012C14">
        <w:rPr>
          <w:rFonts w:ascii="Times New Roman" w:eastAsia="MS Mincho" w:hAnsi="Times New Roman" w:cs="Times New Roman"/>
          <w:lang w:eastAsia="ja-JP"/>
        </w:rPr>
        <w:t>further study</w:t>
      </w:r>
      <w:r w:rsidR="005D1452">
        <w:rPr>
          <w:rFonts w:ascii="Times New Roman" w:eastAsia="MS Mincho" w:hAnsi="Times New Roman" w:cs="Times New Roman"/>
          <w:lang w:eastAsia="ja-JP"/>
        </w:rPr>
        <w:t xml:space="preserve"> (Table 3)</w:t>
      </w:r>
      <w:r w:rsidRPr="0032371F">
        <w:rPr>
          <w:rFonts w:ascii="Times New Roman" w:eastAsia="MS Mincho" w:hAnsi="Times New Roman" w:cs="Times New Roman"/>
          <w:lang w:eastAsia="ja-JP"/>
        </w:rPr>
        <w:t>.</w:t>
      </w:r>
    </w:p>
    <w:p w14:paraId="21573479" w14:textId="6007F74C" w:rsidR="0032371F" w:rsidRDefault="0032371F" w:rsidP="00D45E40">
      <w:pPr>
        <w:widowControl w:val="0"/>
        <w:autoSpaceDE w:val="0"/>
        <w:autoSpaceDN w:val="0"/>
        <w:spacing w:after="120" w:line="276" w:lineRule="auto"/>
        <w:rPr>
          <w:rFonts w:ascii="Times New Roman" w:eastAsia="MS Mincho" w:hAnsi="Times New Roman" w:cs="Times New Roman"/>
          <w:lang w:eastAsia="ja-JP"/>
        </w:rPr>
      </w:pPr>
      <w:r w:rsidRPr="0032371F">
        <w:rPr>
          <w:rFonts w:ascii="Times New Roman" w:eastAsia="MS Mincho" w:hAnsi="Times New Roman" w:cs="Times New Roman"/>
          <w:lang w:eastAsia="ja-JP"/>
        </w:rPr>
        <w:t xml:space="preserve">In conclusion, the study identified Y4667C as a prevalent mutation in some soybean looper populations, </w:t>
      </w:r>
      <w:r w:rsidRPr="0032371F">
        <w:rPr>
          <w:rFonts w:ascii="Times New Roman" w:eastAsia="MS Mincho" w:hAnsi="Times New Roman" w:cs="Times New Roman"/>
          <w:lang w:eastAsia="ja-JP"/>
        </w:rPr>
        <w:lastRenderedPageBreak/>
        <w:t>but its direct role in chlorantraniliprole resistance remains uncertain. Future research should focus on functional analyses to determine its impact on insecticide efficacy and resistance mechanisms.</w:t>
      </w:r>
    </w:p>
    <w:p w14:paraId="68179776" w14:textId="2B45F926" w:rsidR="0032371F" w:rsidRDefault="0032371F" w:rsidP="00FA5DDD">
      <w:pPr>
        <w:widowControl w:val="0"/>
        <w:autoSpaceDE w:val="0"/>
        <w:autoSpaceDN w:val="0"/>
        <w:spacing w:after="120" w:line="276" w:lineRule="auto"/>
        <w:rPr>
          <w:rFonts w:ascii="Times New Roman" w:eastAsia="MS Mincho" w:hAnsi="Times New Roman" w:cs="Times New Roman"/>
          <w:lang w:eastAsia="ja-JP"/>
        </w:rPr>
      </w:pPr>
    </w:p>
    <w:p w14:paraId="311D1C0C" w14:textId="0C0A645F" w:rsidR="00D927BF" w:rsidRPr="00261DA3" w:rsidRDefault="00261DA3" w:rsidP="00D45E40">
      <w:pPr>
        <w:widowControl w:val="0"/>
        <w:autoSpaceDE w:val="0"/>
        <w:autoSpaceDN w:val="0"/>
        <w:spacing w:after="120" w:line="276" w:lineRule="auto"/>
        <w:rPr>
          <w:rFonts w:ascii="Times New Roman" w:eastAsia="MS Mincho" w:hAnsi="Times New Roman" w:cs="Times New Roman"/>
          <w:b/>
          <w:bCs/>
          <w:lang w:eastAsia="ja-JP"/>
        </w:rPr>
      </w:pPr>
      <w:r w:rsidRPr="00261DA3">
        <w:rPr>
          <w:rFonts w:ascii="Times New Roman" w:eastAsia="MS Mincho" w:hAnsi="Times New Roman" w:cs="Times New Roman"/>
          <w:b/>
          <w:bCs/>
          <w:lang w:eastAsia="ja-JP"/>
        </w:rPr>
        <w:t xml:space="preserve">Objective </w:t>
      </w:r>
      <w:r w:rsidR="00D85263">
        <w:rPr>
          <w:rFonts w:ascii="Times New Roman" w:eastAsia="MS Mincho" w:hAnsi="Times New Roman" w:cs="Times New Roman"/>
          <w:b/>
          <w:bCs/>
          <w:lang w:eastAsia="ja-JP"/>
        </w:rPr>
        <w:t>3</w:t>
      </w:r>
      <w:r w:rsidRPr="00261DA3">
        <w:rPr>
          <w:rFonts w:ascii="Times New Roman" w:eastAsia="MS Mincho" w:hAnsi="Times New Roman" w:cs="Times New Roman"/>
          <w:b/>
          <w:bCs/>
          <w:lang w:eastAsia="ja-JP"/>
        </w:rPr>
        <w:t xml:space="preserve">: </w:t>
      </w:r>
      <w:r w:rsidR="00FA5DDD" w:rsidRPr="00FA5DDD">
        <w:rPr>
          <w:rFonts w:ascii="Times New Roman" w:eastAsia="MS Mincho" w:hAnsi="Times New Roman" w:cs="Times New Roman"/>
          <w:u w:val="single"/>
          <w:lang w:eastAsia="ja-JP"/>
        </w:rPr>
        <w:t xml:space="preserve">Investigate </w:t>
      </w:r>
      <w:r w:rsidR="003A1B2D" w:rsidRPr="003A1B2D">
        <w:rPr>
          <w:rFonts w:ascii="Times New Roman" w:eastAsia="MS Mincho" w:hAnsi="Times New Roman" w:cs="Times New Roman"/>
          <w:u w:val="single"/>
          <w:lang w:eastAsia="ja-JP"/>
        </w:rPr>
        <w:t>transcriptome profiles for metabolic resistance.</w:t>
      </w:r>
    </w:p>
    <w:p w14:paraId="1DE8F82D" w14:textId="42E68D2B" w:rsidR="001647A9" w:rsidRPr="001647A9" w:rsidRDefault="001647A9" w:rsidP="00D45E40">
      <w:pPr>
        <w:widowControl w:val="0"/>
        <w:autoSpaceDE w:val="0"/>
        <w:autoSpaceDN w:val="0"/>
        <w:spacing w:after="120" w:line="276" w:lineRule="auto"/>
        <w:rPr>
          <w:rFonts w:ascii="Times New Roman" w:eastAsia="MS Mincho" w:hAnsi="Times New Roman" w:cs="Times New Roman"/>
          <w:lang w:eastAsia="ja-JP"/>
        </w:rPr>
      </w:pPr>
      <w:r w:rsidRPr="001647A9">
        <w:rPr>
          <w:rFonts w:ascii="Times New Roman" w:eastAsia="MS Mincho" w:hAnsi="Times New Roman" w:cs="Times New Roman"/>
          <w:lang w:eastAsia="ja-JP"/>
        </w:rPr>
        <w:t>Comparative RNA sequencing (RNA-Seq) was performed on resistant (Puerto Rico) and susceptible (lab) strains. Transcriptomic analysis identified multiple differentially expressed genes linked to detoxification pathways, including cytochrome P450s (CYPs), glutathione S-transferases (GSTs), carboxylesterases (CCEs), UDP-glycosyltransferases (UGTs)</w:t>
      </w:r>
      <w:r w:rsidR="00EC262D">
        <w:rPr>
          <w:rFonts w:ascii="Times New Roman" w:eastAsia="MS Mincho" w:hAnsi="Times New Roman" w:cs="Times New Roman"/>
          <w:lang w:eastAsia="ja-JP"/>
        </w:rPr>
        <w:t>, and ATP-Binding Cassette Transporters (ABCs)</w:t>
      </w:r>
      <w:r w:rsidR="00E828D8">
        <w:rPr>
          <w:rFonts w:ascii="Times New Roman" w:eastAsia="MS Mincho" w:hAnsi="Times New Roman" w:cs="Times New Roman"/>
          <w:lang w:eastAsia="ja-JP"/>
        </w:rPr>
        <w:t xml:space="preserve"> (Fig. 5).</w:t>
      </w:r>
    </w:p>
    <w:p w14:paraId="4165F789" w14:textId="58E815D8" w:rsidR="001647A9" w:rsidRPr="001647A9" w:rsidRDefault="001647A9" w:rsidP="00D45E40">
      <w:pPr>
        <w:widowControl w:val="0"/>
        <w:autoSpaceDE w:val="0"/>
        <w:autoSpaceDN w:val="0"/>
        <w:spacing w:after="120" w:line="276" w:lineRule="auto"/>
        <w:rPr>
          <w:rFonts w:ascii="Times New Roman" w:eastAsia="MS Mincho" w:hAnsi="Times New Roman" w:cs="Times New Roman"/>
          <w:lang w:eastAsia="ja-JP"/>
        </w:rPr>
      </w:pPr>
      <w:r w:rsidRPr="001647A9">
        <w:rPr>
          <w:rFonts w:ascii="Times New Roman" w:eastAsia="MS Mincho" w:hAnsi="Times New Roman" w:cs="Times New Roman"/>
          <w:lang w:eastAsia="ja-JP"/>
        </w:rPr>
        <w:t>A sublethal chlorantraniliprole exposure (0.1 ppm for 48 hours) revealed that 2.5 times more genes were activated in the PR strain than in the susceptible strain. Among the identified 51,510 contigs, 2,801 genes were upregulated and 959 were downregulated, suggesting that detoxification pathways play a major role in resistance</w:t>
      </w:r>
      <w:r w:rsidR="004E18DE">
        <w:rPr>
          <w:rFonts w:ascii="Times New Roman" w:eastAsia="MS Mincho" w:hAnsi="Times New Roman" w:cs="Times New Roman"/>
          <w:lang w:eastAsia="ja-JP"/>
        </w:rPr>
        <w:t xml:space="preserve"> (Fig. </w:t>
      </w:r>
      <w:r w:rsidR="00DF3A07">
        <w:rPr>
          <w:rFonts w:ascii="Times New Roman" w:eastAsia="MS Mincho" w:hAnsi="Times New Roman" w:cs="Times New Roman"/>
          <w:lang w:eastAsia="ja-JP"/>
        </w:rPr>
        <w:t>6</w:t>
      </w:r>
      <w:r w:rsidR="004E18DE">
        <w:rPr>
          <w:rFonts w:ascii="Times New Roman" w:eastAsia="MS Mincho" w:hAnsi="Times New Roman" w:cs="Times New Roman"/>
          <w:lang w:eastAsia="ja-JP"/>
        </w:rPr>
        <w:t>)</w:t>
      </w:r>
      <w:r w:rsidRPr="001647A9">
        <w:rPr>
          <w:rFonts w:ascii="Times New Roman" w:eastAsia="MS Mincho" w:hAnsi="Times New Roman" w:cs="Times New Roman"/>
          <w:lang w:eastAsia="ja-JP"/>
        </w:rPr>
        <w:t>.</w:t>
      </w:r>
      <w:r w:rsidR="007B5501">
        <w:rPr>
          <w:rFonts w:ascii="Times New Roman" w:eastAsia="MS Mincho" w:hAnsi="Times New Roman" w:cs="Times New Roman"/>
          <w:lang w:eastAsia="ja-JP"/>
        </w:rPr>
        <w:t xml:space="preserve"> </w:t>
      </w:r>
      <w:r w:rsidRPr="001647A9">
        <w:rPr>
          <w:rFonts w:ascii="Times New Roman" w:eastAsia="MS Mincho" w:hAnsi="Times New Roman" w:cs="Times New Roman"/>
          <w:lang w:eastAsia="ja-JP"/>
        </w:rPr>
        <w:t xml:space="preserve">To evaluate detoxification potential, five highly upregulated CYP genes were cloned and expressed in </w:t>
      </w:r>
      <w:r w:rsidRPr="004E18DE">
        <w:rPr>
          <w:rFonts w:ascii="Times New Roman" w:eastAsia="MS Mincho" w:hAnsi="Times New Roman" w:cs="Times New Roman"/>
          <w:i/>
          <w:iCs/>
          <w:lang w:eastAsia="ja-JP"/>
        </w:rPr>
        <w:t>Spodoptera frugiperda</w:t>
      </w:r>
      <w:r w:rsidRPr="001647A9">
        <w:rPr>
          <w:rFonts w:ascii="Times New Roman" w:eastAsia="MS Mincho" w:hAnsi="Times New Roman" w:cs="Times New Roman"/>
          <w:lang w:eastAsia="ja-JP"/>
        </w:rPr>
        <w:t xml:space="preserve"> (Sf9) cells. Enzyme kinetic assays showed that CincCYP34024 exhibited moderate detoxification activity against chlorantraniliprole. Additional CYP genes (CincCYP19165, CincCYP19026, CincCYP30270, CincCYP11051, CincCYP5852, and CincCYP2037) were cloned and are undergoing functional validation</w:t>
      </w:r>
      <w:r w:rsidR="00BE73C3">
        <w:rPr>
          <w:rFonts w:ascii="Times New Roman" w:eastAsia="MS Mincho" w:hAnsi="Times New Roman" w:cs="Times New Roman"/>
          <w:lang w:eastAsia="ja-JP"/>
        </w:rPr>
        <w:t xml:space="preserve"> (Table 4)</w:t>
      </w:r>
      <w:r w:rsidRPr="001647A9">
        <w:rPr>
          <w:rFonts w:ascii="Times New Roman" w:eastAsia="MS Mincho" w:hAnsi="Times New Roman" w:cs="Times New Roman"/>
          <w:lang w:eastAsia="ja-JP"/>
        </w:rPr>
        <w:t>. Phylogenetic analysis placed these genes in CYP Clan 3, typically associated with insecticide metabolism.</w:t>
      </w:r>
      <w:r w:rsidR="007B5501">
        <w:rPr>
          <w:rFonts w:ascii="Times New Roman" w:eastAsia="MS Mincho" w:hAnsi="Times New Roman" w:cs="Times New Roman"/>
          <w:lang w:eastAsia="ja-JP"/>
        </w:rPr>
        <w:t xml:space="preserve"> </w:t>
      </w:r>
    </w:p>
    <w:p w14:paraId="1C3F95E1" w14:textId="52CF8CF5" w:rsidR="001647A9" w:rsidRDefault="001647A9" w:rsidP="00D45E40">
      <w:pPr>
        <w:widowControl w:val="0"/>
        <w:autoSpaceDE w:val="0"/>
        <w:autoSpaceDN w:val="0"/>
        <w:spacing w:after="120" w:line="276" w:lineRule="auto"/>
        <w:rPr>
          <w:rFonts w:ascii="Times New Roman" w:eastAsia="MS Mincho" w:hAnsi="Times New Roman" w:cs="Times New Roman"/>
          <w:lang w:eastAsia="ja-JP"/>
        </w:rPr>
      </w:pPr>
      <w:r w:rsidRPr="001647A9">
        <w:rPr>
          <w:rFonts w:ascii="Times New Roman" w:eastAsia="MS Mincho" w:hAnsi="Times New Roman" w:cs="Times New Roman"/>
          <w:lang w:eastAsia="ja-JP"/>
        </w:rPr>
        <w:t>These findings indicate that metabolic detoxification, particularly via upregulated CYP genes, plays a major role in diamide resistance in soybean looper, while target-site mutations may have a minor role given the current low resistance levels. Future studies will focus on validating these detoxification genes through in vivo RNAi experiments and refining molecular diagnostics for field resistance monitoring. These efforts will contribute to more effective resistance management strategies for soybean looper control.</w:t>
      </w:r>
    </w:p>
    <w:p w14:paraId="27C209ED" w14:textId="0A4DDEA9" w:rsidR="002E7E0E" w:rsidRDefault="009A6677" w:rsidP="00D45E40">
      <w:pPr>
        <w:widowControl w:val="0"/>
        <w:autoSpaceDE w:val="0"/>
        <w:autoSpaceDN w:val="0"/>
        <w:spacing w:after="120" w:line="276" w:lineRule="auto"/>
        <w:rPr>
          <w:rFonts w:ascii="Times New Roman" w:eastAsia="MS Mincho" w:hAnsi="Times New Roman" w:cs="Times New Roman"/>
          <w:lang w:eastAsia="ja-JP"/>
        </w:rPr>
      </w:pPr>
      <w:r w:rsidRPr="009A6677">
        <w:rPr>
          <w:rFonts w:ascii="Times New Roman" w:eastAsia="MS Mincho" w:hAnsi="Times New Roman" w:cs="Times New Roman"/>
          <w:lang w:eastAsia="ja-JP"/>
        </w:rPr>
        <w:t>Overall, this study provides a detailed molecular understanding of metabolic detoxification mechanisms in diamide-resistant soybean loopers. Future work will focus on confirming the functional roles of these detoxification genes through enzyme assays and in vivo RNAi experiments to determine their direct contributions to resistance. These findings will contribute to the development of molecular tools for monitoring resistance and optimizing insecticide resistance management strategies.</w:t>
      </w:r>
    </w:p>
    <w:p w14:paraId="4DE9B6E2" w14:textId="77777777" w:rsidR="00FA5DDD" w:rsidRDefault="00FA5DDD" w:rsidP="00D45E40">
      <w:pPr>
        <w:widowControl w:val="0"/>
        <w:autoSpaceDE w:val="0"/>
        <w:autoSpaceDN w:val="0"/>
        <w:spacing w:after="120" w:line="276" w:lineRule="auto"/>
        <w:rPr>
          <w:rFonts w:ascii="Times New Roman" w:eastAsia="MS Mincho" w:hAnsi="Times New Roman" w:cs="Times New Roman"/>
          <w:lang w:eastAsia="ja-JP"/>
        </w:rPr>
      </w:pPr>
    </w:p>
    <w:p w14:paraId="43421D08" w14:textId="60EE60D3" w:rsidR="006F2F59" w:rsidRPr="00EB65BE" w:rsidRDefault="00CF4101" w:rsidP="00D45E40">
      <w:pPr>
        <w:widowControl w:val="0"/>
        <w:autoSpaceDE w:val="0"/>
        <w:autoSpaceDN w:val="0"/>
        <w:spacing w:after="120" w:line="276" w:lineRule="auto"/>
        <w:rPr>
          <w:rFonts w:ascii="Times New Roman" w:eastAsia="MS Mincho" w:hAnsi="Times New Roman" w:cs="Times New Roman"/>
          <w:b/>
          <w:bCs/>
          <w:lang w:eastAsia="ja-JP"/>
        </w:rPr>
      </w:pPr>
      <w:r w:rsidRPr="00EB65BE">
        <w:rPr>
          <w:rFonts w:ascii="Times New Roman" w:eastAsia="MS Mincho" w:hAnsi="Times New Roman" w:cs="Times New Roman"/>
          <w:b/>
          <w:bCs/>
          <w:lang w:eastAsia="ja-JP"/>
        </w:rPr>
        <w:t xml:space="preserve">Objective </w:t>
      </w:r>
      <w:r w:rsidR="00D85263">
        <w:rPr>
          <w:rFonts w:ascii="Times New Roman" w:eastAsia="MS Mincho" w:hAnsi="Times New Roman" w:cs="Times New Roman"/>
          <w:b/>
          <w:bCs/>
          <w:lang w:eastAsia="ja-JP"/>
        </w:rPr>
        <w:t>4</w:t>
      </w:r>
      <w:r w:rsidRPr="00EB65BE">
        <w:rPr>
          <w:rFonts w:ascii="Times New Roman" w:eastAsia="MS Mincho" w:hAnsi="Times New Roman" w:cs="Times New Roman"/>
          <w:b/>
          <w:bCs/>
          <w:lang w:eastAsia="ja-JP"/>
        </w:rPr>
        <w:t xml:space="preserve">: </w:t>
      </w:r>
      <w:r w:rsidR="003A1B2D" w:rsidRPr="003A1B2D">
        <w:rPr>
          <w:rFonts w:ascii="Times New Roman" w:eastAsia="MS Mincho" w:hAnsi="Times New Roman" w:cs="Times New Roman"/>
          <w:u w:val="single"/>
          <w:lang w:eastAsia="ja-JP"/>
        </w:rPr>
        <w:t>Develop molecular marker</w:t>
      </w:r>
      <w:r w:rsidR="00FA5DDD">
        <w:rPr>
          <w:rFonts w:ascii="Times New Roman" w:eastAsia="MS Mincho" w:hAnsi="Times New Roman" w:cs="Times New Roman"/>
          <w:u w:val="single"/>
          <w:lang w:eastAsia="ja-JP"/>
        </w:rPr>
        <w:t>s</w:t>
      </w:r>
      <w:r w:rsidR="003A1B2D" w:rsidRPr="003A1B2D">
        <w:rPr>
          <w:rFonts w:ascii="Times New Roman" w:eastAsia="MS Mincho" w:hAnsi="Times New Roman" w:cs="Times New Roman"/>
          <w:u w:val="single"/>
          <w:lang w:eastAsia="ja-JP"/>
        </w:rPr>
        <w:t xml:space="preserve"> for diamide resistance.</w:t>
      </w:r>
    </w:p>
    <w:p w14:paraId="378AED99" w14:textId="77777777" w:rsidR="00DD5336" w:rsidRDefault="0049416A" w:rsidP="00D45E40">
      <w:pPr>
        <w:widowControl w:val="0"/>
        <w:autoSpaceDE w:val="0"/>
        <w:autoSpaceDN w:val="0"/>
        <w:spacing w:after="120" w:line="276" w:lineRule="auto"/>
        <w:rPr>
          <w:rFonts w:ascii="Times New Roman" w:eastAsia="MS Mincho" w:hAnsi="Times New Roman" w:cs="Times New Roman"/>
          <w:lang w:eastAsia="ja-JP"/>
        </w:rPr>
      </w:pPr>
      <w:r w:rsidRPr="0049416A">
        <w:rPr>
          <w:rFonts w:ascii="Times New Roman" w:eastAsia="MS Mincho" w:hAnsi="Times New Roman" w:cs="Times New Roman"/>
          <w:lang w:eastAsia="ja-JP"/>
        </w:rPr>
        <w:t xml:space="preserve">To facilitate the early detection and monitoring of diamide resistance in soybean looper populations, efforts have been directed toward developing molecular diagnostic markers. The first step involved characterizing the full-length ryanodine receptor (RyR) gene from a susceptible lab strain, which was compared to a resistant Puerto Rico (PR) strain. Structural variations were identified, including alternative splicing, two insertion-deletion (indel) mutations, and multiple single nucleotide polymorphisms (SNPs). Transcriptome analysis revealed an alternative splicing event in the SPRY3 domain, resulting in three transcript variants. The resistant PR strain was homozygous for variant C, whereas the susceptible strain was heterozygous for variants A and B. Cloning and sequencing confirmed that the resistant strain exhibited exon skipping in exon 37 and partial deletion of exon 38, potentially altering protein function. Further studies are underway to confirm whether this splicing variation contributes to resistance and can </w:t>
      </w:r>
      <w:r w:rsidRPr="0049416A">
        <w:rPr>
          <w:rFonts w:ascii="Times New Roman" w:eastAsia="MS Mincho" w:hAnsi="Times New Roman" w:cs="Times New Roman"/>
          <w:lang w:eastAsia="ja-JP"/>
        </w:rPr>
        <w:lastRenderedPageBreak/>
        <w:t>serve as a diagnostic marker</w:t>
      </w:r>
      <w:r w:rsidR="00EC262D">
        <w:rPr>
          <w:rFonts w:ascii="Times New Roman" w:eastAsia="MS Mincho" w:hAnsi="Times New Roman" w:cs="Times New Roman"/>
          <w:lang w:eastAsia="ja-JP"/>
        </w:rPr>
        <w:t xml:space="preserve"> (Isbilir et al., 2023)</w:t>
      </w:r>
      <w:r w:rsidRPr="0049416A">
        <w:rPr>
          <w:rFonts w:ascii="Times New Roman" w:eastAsia="MS Mincho" w:hAnsi="Times New Roman" w:cs="Times New Roman"/>
          <w:lang w:eastAsia="ja-JP"/>
        </w:rPr>
        <w:t>.</w:t>
      </w:r>
      <w:r w:rsidR="0065520A">
        <w:rPr>
          <w:rFonts w:ascii="Times New Roman" w:eastAsia="MS Mincho" w:hAnsi="Times New Roman" w:cs="Times New Roman"/>
          <w:lang w:eastAsia="ja-JP"/>
        </w:rPr>
        <w:t xml:space="preserve"> </w:t>
      </w:r>
    </w:p>
    <w:p w14:paraId="47D5E68B" w14:textId="730590A5" w:rsidR="00BB2A17" w:rsidRDefault="0049416A" w:rsidP="00D45E40">
      <w:pPr>
        <w:widowControl w:val="0"/>
        <w:autoSpaceDE w:val="0"/>
        <w:autoSpaceDN w:val="0"/>
        <w:spacing w:after="120" w:line="276" w:lineRule="auto"/>
        <w:rPr>
          <w:rFonts w:ascii="Times New Roman" w:eastAsia="MS Mincho" w:hAnsi="Times New Roman" w:cs="Times New Roman"/>
          <w:lang w:eastAsia="ja-JP"/>
        </w:rPr>
      </w:pPr>
      <w:r w:rsidRPr="0049416A">
        <w:rPr>
          <w:rFonts w:ascii="Times New Roman" w:eastAsia="MS Mincho" w:hAnsi="Times New Roman" w:cs="Times New Roman"/>
          <w:lang w:eastAsia="ja-JP"/>
        </w:rPr>
        <w:t xml:space="preserve">In the second year, </w:t>
      </w:r>
      <w:r w:rsidR="00EC262D">
        <w:rPr>
          <w:rFonts w:ascii="Times New Roman" w:eastAsia="MS Mincho" w:hAnsi="Times New Roman" w:cs="Times New Roman"/>
          <w:lang w:eastAsia="ja-JP"/>
        </w:rPr>
        <w:t>we</w:t>
      </w:r>
      <w:r w:rsidRPr="0049416A">
        <w:rPr>
          <w:rFonts w:ascii="Times New Roman" w:eastAsia="MS Mincho" w:hAnsi="Times New Roman" w:cs="Times New Roman"/>
          <w:lang w:eastAsia="ja-JP"/>
        </w:rPr>
        <w:t xml:space="preserve"> initiated a real-time PCR (qRT-PCR) assay to detect resistance-related genes, focusing on five cytochrome P450 (CYP) candidates. </w:t>
      </w:r>
      <w:r w:rsidR="00BB2A17" w:rsidRPr="00BB2A17">
        <w:rPr>
          <w:rFonts w:ascii="Times New Roman" w:eastAsia="MS Mincho" w:hAnsi="Times New Roman" w:cs="Times New Roman"/>
          <w:lang w:eastAsia="ja-JP"/>
        </w:rPr>
        <w:t>Among the genes tested, only CincCYP11051 exhibited significantly higher expression in the PR24mix treatment group (0.1 ppm chlorantraniliprole), suggesting that this P450 gene may contribute to chlorantraniliprole resistance in soybean looper. At minimum, it serves as a molecular indicator of the resistant strain (Fig. 7).</w:t>
      </w:r>
    </w:p>
    <w:p w14:paraId="7BBDA0A4" w14:textId="77777777" w:rsidR="00DD5336" w:rsidRDefault="0049416A" w:rsidP="00D45E40">
      <w:pPr>
        <w:widowControl w:val="0"/>
        <w:autoSpaceDE w:val="0"/>
        <w:autoSpaceDN w:val="0"/>
        <w:spacing w:after="120" w:line="276" w:lineRule="auto"/>
        <w:rPr>
          <w:rFonts w:ascii="Times New Roman" w:eastAsia="MS Mincho" w:hAnsi="Times New Roman" w:cs="Times New Roman"/>
          <w:lang w:eastAsia="ja-JP"/>
        </w:rPr>
      </w:pPr>
      <w:r w:rsidRPr="0049416A">
        <w:rPr>
          <w:rFonts w:ascii="Times New Roman" w:eastAsia="MS Mincho" w:hAnsi="Times New Roman" w:cs="Times New Roman"/>
          <w:lang w:eastAsia="ja-JP"/>
        </w:rPr>
        <w:t xml:space="preserve">In the third year, </w:t>
      </w:r>
      <w:r w:rsidR="00DD5336">
        <w:rPr>
          <w:rFonts w:ascii="Times New Roman" w:eastAsia="MS Mincho" w:hAnsi="Times New Roman" w:cs="Times New Roman"/>
          <w:lang w:eastAsia="ja-JP"/>
        </w:rPr>
        <w:t>we</w:t>
      </w:r>
      <w:r w:rsidRPr="0049416A">
        <w:rPr>
          <w:rFonts w:ascii="Times New Roman" w:eastAsia="MS Mincho" w:hAnsi="Times New Roman" w:cs="Times New Roman"/>
          <w:lang w:eastAsia="ja-JP"/>
        </w:rPr>
        <w:t xml:space="preserve"> explored gene-editing applications for insecticide resistance research. A pigmentation gene (</w:t>
      </w:r>
      <w:r w:rsidRPr="00BF6B61">
        <w:rPr>
          <w:rFonts w:ascii="Times New Roman" w:eastAsia="MS Mincho" w:hAnsi="Times New Roman" w:cs="Times New Roman"/>
          <w:i/>
          <w:iCs/>
          <w:lang w:eastAsia="ja-JP"/>
        </w:rPr>
        <w:t>scarlet</w:t>
      </w:r>
      <w:r w:rsidRPr="0049416A">
        <w:rPr>
          <w:rFonts w:ascii="Times New Roman" w:eastAsia="MS Mincho" w:hAnsi="Times New Roman" w:cs="Times New Roman"/>
          <w:lang w:eastAsia="ja-JP"/>
        </w:rPr>
        <w:t xml:space="preserve">) was identified in soybean looper and targeted using CRISPR/Cas9. Knocking out </w:t>
      </w:r>
      <w:r w:rsidRPr="00BF6B61">
        <w:rPr>
          <w:rFonts w:ascii="Times New Roman" w:eastAsia="MS Mincho" w:hAnsi="Times New Roman" w:cs="Times New Roman"/>
          <w:i/>
          <w:iCs/>
          <w:lang w:eastAsia="ja-JP"/>
        </w:rPr>
        <w:t>scarlet</w:t>
      </w:r>
      <w:r w:rsidRPr="0049416A">
        <w:rPr>
          <w:rFonts w:ascii="Times New Roman" w:eastAsia="MS Mincho" w:hAnsi="Times New Roman" w:cs="Times New Roman"/>
          <w:lang w:eastAsia="ja-JP"/>
        </w:rPr>
        <w:t xml:space="preserve"> resulted in significant changes in eye color, marking the first successful use of CRISPR in soybean looper</w:t>
      </w:r>
      <w:r w:rsidR="00BF6B61">
        <w:rPr>
          <w:rFonts w:ascii="Times New Roman" w:eastAsia="MS Mincho" w:hAnsi="Times New Roman" w:cs="Times New Roman"/>
          <w:lang w:eastAsia="ja-JP"/>
        </w:rPr>
        <w:t xml:space="preserve"> (Fig. 8)</w:t>
      </w:r>
      <w:r w:rsidRPr="0049416A">
        <w:rPr>
          <w:rFonts w:ascii="Times New Roman" w:eastAsia="MS Mincho" w:hAnsi="Times New Roman" w:cs="Times New Roman"/>
          <w:lang w:eastAsia="ja-JP"/>
        </w:rPr>
        <w:t>. This established scarlet as a valuable genetic marker for further genome-editing studies and resistance monitoring. Findings from this research were published in a peer-reviewed journal, emphasizing the utility of scarlet as a tool for fundamental and applied insect science</w:t>
      </w:r>
      <w:r w:rsidR="00BF6B61">
        <w:rPr>
          <w:rFonts w:ascii="Times New Roman" w:eastAsia="MS Mincho" w:hAnsi="Times New Roman" w:cs="Times New Roman"/>
          <w:lang w:eastAsia="ja-JP"/>
        </w:rPr>
        <w:t xml:space="preserve"> (Lee &amp; Ahn, 2024)</w:t>
      </w:r>
      <w:r w:rsidRPr="0049416A">
        <w:rPr>
          <w:rFonts w:ascii="Times New Roman" w:eastAsia="MS Mincho" w:hAnsi="Times New Roman" w:cs="Times New Roman"/>
          <w:lang w:eastAsia="ja-JP"/>
        </w:rPr>
        <w:t>.</w:t>
      </w:r>
      <w:r w:rsidR="00194361">
        <w:rPr>
          <w:rFonts w:ascii="Times New Roman" w:eastAsia="MS Mincho" w:hAnsi="Times New Roman" w:cs="Times New Roman"/>
          <w:lang w:eastAsia="ja-JP"/>
        </w:rPr>
        <w:t xml:space="preserve"> </w:t>
      </w:r>
    </w:p>
    <w:p w14:paraId="4C714404" w14:textId="624492B9" w:rsidR="0049416A" w:rsidRPr="0049416A" w:rsidRDefault="0049416A" w:rsidP="00D45E40">
      <w:pPr>
        <w:widowControl w:val="0"/>
        <w:autoSpaceDE w:val="0"/>
        <w:autoSpaceDN w:val="0"/>
        <w:spacing w:after="120" w:line="276" w:lineRule="auto"/>
        <w:rPr>
          <w:rFonts w:ascii="Times New Roman" w:eastAsia="MS Mincho" w:hAnsi="Times New Roman" w:cs="Times New Roman"/>
          <w:lang w:eastAsia="ja-JP"/>
        </w:rPr>
      </w:pPr>
      <w:r w:rsidRPr="0049416A">
        <w:rPr>
          <w:rFonts w:ascii="Times New Roman" w:eastAsia="MS Mincho" w:hAnsi="Times New Roman" w:cs="Times New Roman"/>
          <w:lang w:eastAsia="ja-JP"/>
        </w:rPr>
        <w:t xml:space="preserve">In the fourth year, a key mutation at position Y4667 in the RyR gene was identified, distinguishing the PR (mutant) strain from the lab (wild-type) strain. This mutation, a tyrosine-to-cysteine (Y4667C) substitution, was confirmed via Sanger sequencing. A PCR-RFLP assay was developed using the </w:t>
      </w:r>
      <w:r w:rsidRPr="00DD5336">
        <w:rPr>
          <w:rFonts w:ascii="Times New Roman" w:eastAsia="MS Mincho" w:hAnsi="Times New Roman" w:cs="Times New Roman"/>
          <w:i/>
          <w:iCs/>
          <w:lang w:eastAsia="ja-JP"/>
        </w:rPr>
        <w:t>Tai</w:t>
      </w:r>
      <w:r w:rsidRPr="0049416A">
        <w:rPr>
          <w:rFonts w:ascii="Times New Roman" w:eastAsia="MS Mincho" w:hAnsi="Times New Roman" w:cs="Times New Roman"/>
          <w:lang w:eastAsia="ja-JP"/>
        </w:rPr>
        <w:t>I restriction enzyme, which selectively digests the wild-type sequence but not the mutant sequence, enabling a simple diagnostic test for resistance. Screening of 200 individuals confirmed a mutation frequency exceeding 55%.</w:t>
      </w:r>
    </w:p>
    <w:p w14:paraId="1923A93F" w14:textId="4F740B4E" w:rsidR="006F2F59" w:rsidRDefault="0049416A" w:rsidP="00D45E40">
      <w:pPr>
        <w:widowControl w:val="0"/>
        <w:autoSpaceDE w:val="0"/>
        <w:autoSpaceDN w:val="0"/>
        <w:spacing w:after="120" w:line="276" w:lineRule="auto"/>
        <w:rPr>
          <w:rFonts w:ascii="Times New Roman" w:eastAsia="MS Mincho" w:hAnsi="Times New Roman" w:cs="Times New Roman"/>
          <w:lang w:eastAsia="ja-JP"/>
        </w:rPr>
      </w:pPr>
      <w:r w:rsidRPr="0049416A">
        <w:rPr>
          <w:rFonts w:ascii="Times New Roman" w:eastAsia="MS Mincho" w:hAnsi="Times New Roman" w:cs="Times New Roman"/>
          <w:lang w:eastAsia="ja-JP"/>
        </w:rPr>
        <w:t>Field validation efforts applied this method to eight soybean looper populations across Tennessee, Louisiana, and Mississippi. These populations lacked the Y4667C mutation and remained susceptible to diamides. However, the 2024 PR populations carried the mutation, though phenotypic resistance testing was limited due to sample constraints. Further research will focus on strengthening the genotype-resistance correlation and refining molecular diagnostic tools for practical field applications in resistance management.</w:t>
      </w:r>
    </w:p>
    <w:p w14:paraId="30688581" w14:textId="04AF4FE5" w:rsidR="006F2F59" w:rsidRDefault="006F2F59" w:rsidP="00D45E40">
      <w:pPr>
        <w:spacing w:after="120" w:line="276" w:lineRule="auto"/>
        <w:rPr>
          <w:rFonts w:ascii="Times New Roman" w:eastAsia="MS Mincho" w:hAnsi="Times New Roman" w:cs="Times New Roman"/>
          <w:lang w:eastAsia="ja-JP"/>
        </w:rPr>
      </w:pPr>
    </w:p>
    <w:p w14:paraId="4B1DCBFC" w14:textId="77777777" w:rsidR="00A1523D" w:rsidRPr="00A1523D" w:rsidRDefault="00A1523D" w:rsidP="00D45E40">
      <w:pPr>
        <w:widowControl w:val="0"/>
        <w:spacing w:after="120" w:line="276" w:lineRule="auto"/>
        <w:jc w:val="center"/>
        <w:rPr>
          <w:rFonts w:ascii="Times New Roman" w:eastAsia="MS Mincho" w:hAnsi="Times New Roman" w:cs="Times New Roman"/>
          <w:lang w:eastAsia="ja-JP"/>
        </w:rPr>
      </w:pPr>
      <w:r w:rsidRPr="00A1523D">
        <w:rPr>
          <w:rFonts w:ascii="Times New Roman" w:eastAsia="MS Mincho" w:hAnsi="Times New Roman" w:cs="Times New Roman"/>
          <w:b/>
          <w:lang w:eastAsia="ja-JP"/>
        </w:rPr>
        <w:t>Impacts and Benefits to Mississippi Soybean Producers</w:t>
      </w:r>
    </w:p>
    <w:p w14:paraId="1ED9BC4B" w14:textId="1BFB55DF" w:rsidR="00CE24F9" w:rsidRPr="00CE2F24" w:rsidRDefault="00CE24F9" w:rsidP="00D45E40">
      <w:pPr>
        <w:widowControl w:val="0"/>
        <w:autoSpaceDE w:val="0"/>
        <w:autoSpaceDN w:val="0"/>
        <w:spacing w:after="120" w:line="276" w:lineRule="auto"/>
        <w:rPr>
          <w:rFonts w:ascii="Times New Roman" w:eastAsia="MS Mincho" w:hAnsi="Times New Roman" w:cs="Times New Roman"/>
          <w:lang w:eastAsia="ja-JP"/>
        </w:rPr>
      </w:pPr>
      <w:r w:rsidRPr="00CE24F9">
        <w:rPr>
          <w:rFonts w:ascii="Times New Roman" w:eastAsia="MS Mincho" w:hAnsi="Times New Roman" w:cs="Times New Roman"/>
          <w:lang w:eastAsia="ja-JP"/>
        </w:rPr>
        <w:t xml:space="preserve">Ongoing research on soybean looper resistance is crucial for Mississippi soybean producers, given the pest’s migratory nature and the rising incidence of resistance in South America. To address this, we are developing a rapid diagnostic </w:t>
      </w:r>
      <w:r w:rsidR="0011534A">
        <w:rPr>
          <w:rFonts w:ascii="Times New Roman" w:eastAsia="MS Mincho" w:hAnsi="Times New Roman" w:cs="Times New Roman"/>
          <w:lang w:eastAsia="ja-JP"/>
        </w:rPr>
        <w:t>method</w:t>
      </w:r>
      <w:r w:rsidRPr="00CE24F9">
        <w:rPr>
          <w:rFonts w:ascii="Times New Roman" w:eastAsia="MS Mincho" w:hAnsi="Times New Roman" w:cs="Times New Roman"/>
          <w:lang w:eastAsia="ja-JP"/>
        </w:rPr>
        <w:t xml:space="preserve"> that will enable growers to detect diamide resistance within a day or two, allowing for informed management decisions. Once validated, this method can be implemented by local extension agents with minimal training and equipment.</w:t>
      </w:r>
      <w:r>
        <w:rPr>
          <w:rFonts w:ascii="Times New Roman" w:eastAsia="MS Mincho" w:hAnsi="Times New Roman" w:cs="Times New Roman"/>
          <w:lang w:eastAsia="ja-JP"/>
        </w:rPr>
        <w:t xml:space="preserve"> </w:t>
      </w:r>
      <w:r w:rsidRPr="00CE24F9">
        <w:rPr>
          <w:rFonts w:ascii="Times New Roman" w:eastAsia="MS Mincho" w:hAnsi="Times New Roman" w:cs="Times New Roman"/>
          <w:lang w:eastAsia="ja-JP"/>
        </w:rPr>
        <w:t xml:space="preserve">Understanding the genetic and molecular basis of resistance is essential for creating an effective diagnostic tool. Research has identified a </w:t>
      </w:r>
      <w:r w:rsidR="0011534A">
        <w:rPr>
          <w:rFonts w:ascii="Times New Roman" w:eastAsia="MS Mincho" w:hAnsi="Times New Roman" w:cs="Times New Roman"/>
          <w:lang w:eastAsia="ja-JP"/>
        </w:rPr>
        <w:t xml:space="preserve">potentially </w:t>
      </w:r>
      <w:r w:rsidRPr="00CE24F9">
        <w:rPr>
          <w:rFonts w:ascii="Times New Roman" w:eastAsia="MS Mincho" w:hAnsi="Times New Roman" w:cs="Times New Roman"/>
          <w:lang w:eastAsia="ja-JP"/>
        </w:rPr>
        <w:t>resistance-associated mutation (Y4667C) in the RyR gene</w:t>
      </w:r>
      <w:r w:rsidR="0011534A">
        <w:rPr>
          <w:rFonts w:ascii="Times New Roman" w:eastAsia="MS Mincho" w:hAnsi="Times New Roman" w:cs="Times New Roman"/>
          <w:lang w:eastAsia="ja-JP"/>
        </w:rPr>
        <w:t xml:space="preserve"> and </w:t>
      </w:r>
      <w:r w:rsidR="0011534A" w:rsidRPr="0011534A">
        <w:rPr>
          <w:rFonts w:ascii="Times New Roman" w:eastAsia="MS Mincho" w:hAnsi="Times New Roman" w:cs="Times New Roman"/>
          <w:lang w:eastAsia="ja-JP"/>
        </w:rPr>
        <w:t xml:space="preserve">key cytochrome P450 genes involved in </w:t>
      </w:r>
      <w:r w:rsidR="0011534A">
        <w:rPr>
          <w:rFonts w:ascii="Times New Roman" w:eastAsia="MS Mincho" w:hAnsi="Times New Roman" w:cs="Times New Roman"/>
          <w:lang w:eastAsia="ja-JP"/>
        </w:rPr>
        <w:t>metabolic resistance</w:t>
      </w:r>
      <w:r w:rsidRPr="00CE24F9">
        <w:rPr>
          <w:rFonts w:ascii="Times New Roman" w:eastAsia="MS Mincho" w:hAnsi="Times New Roman" w:cs="Times New Roman"/>
          <w:lang w:eastAsia="ja-JP"/>
        </w:rPr>
        <w:t>. These findings support the development of a PCR</w:t>
      </w:r>
      <w:r w:rsidR="00401130">
        <w:rPr>
          <w:rFonts w:ascii="Times New Roman" w:eastAsia="MS Mincho" w:hAnsi="Times New Roman" w:cs="Times New Roman"/>
          <w:lang w:eastAsia="ja-JP"/>
        </w:rPr>
        <w:t>/</w:t>
      </w:r>
      <w:r w:rsidR="00401130" w:rsidRPr="004303F5">
        <w:rPr>
          <w:rFonts w:ascii="Times New Roman" w:eastAsia="MS Mincho" w:hAnsi="Times New Roman" w:cs="Times New Roman"/>
          <w:i/>
          <w:iCs/>
          <w:lang w:eastAsia="ja-JP"/>
        </w:rPr>
        <w:t>Tai</w:t>
      </w:r>
      <w:r w:rsidR="00401130">
        <w:rPr>
          <w:rFonts w:ascii="Times New Roman" w:eastAsia="MS Mincho" w:hAnsi="Times New Roman" w:cs="Times New Roman"/>
          <w:lang w:eastAsia="ja-JP"/>
        </w:rPr>
        <w:t xml:space="preserve">I enzyme-based </w:t>
      </w:r>
      <w:r w:rsidRPr="00CE24F9">
        <w:rPr>
          <w:rFonts w:ascii="Times New Roman" w:eastAsia="MS Mincho" w:hAnsi="Times New Roman" w:cs="Times New Roman"/>
          <w:lang w:eastAsia="ja-JP"/>
        </w:rPr>
        <w:t>diagnostic method, which provides a cost-effective approach for screening field populations.</w:t>
      </w:r>
      <w:r>
        <w:rPr>
          <w:rFonts w:ascii="Times New Roman" w:eastAsia="MS Mincho" w:hAnsi="Times New Roman" w:cs="Times New Roman"/>
          <w:lang w:eastAsia="ja-JP"/>
        </w:rPr>
        <w:t xml:space="preserve"> </w:t>
      </w:r>
      <w:r w:rsidRPr="00CE24F9">
        <w:rPr>
          <w:rFonts w:ascii="Times New Roman" w:eastAsia="MS Mincho" w:hAnsi="Times New Roman" w:cs="Times New Roman"/>
          <w:lang w:eastAsia="ja-JP"/>
        </w:rPr>
        <w:t>Monitoring efforts confirm that Mississippi soybean looper populations remain susceptible to diamides. However, continued surveillance using real-time PCR ensures early detection of resistance, allowing timely adjustments in insecticide use and integrated pest management (IPM) strategies. By equipping farmers with reliable resistance diagnostics, this research helps sustain soybean yields and minimize economic losses due to ineffective insecticide applications.</w:t>
      </w:r>
    </w:p>
    <w:p w14:paraId="590E87E2" w14:textId="77777777" w:rsidR="00860E58" w:rsidRPr="00CE2F24" w:rsidRDefault="00860E58" w:rsidP="00D45E40">
      <w:pPr>
        <w:widowControl w:val="0"/>
        <w:autoSpaceDE w:val="0"/>
        <w:autoSpaceDN w:val="0"/>
        <w:spacing w:after="120" w:line="276" w:lineRule="auto"/>
        <w:rPr>
          <w:rFonts w:ascii="Times New Roman" w:eastAsia="MS Mincho" w:hAnsi="Times New Roman" w:cs="Times New Roman"/>
          <w:lang w:eastAsia="ja-JP"/>
        </w:rPr>
      </w:pPr>
    </w:p>
    <w:p w14:paraId="3740A3D9" w14:textId="77777777" w:rsidR="00AD1CFA" w:rsidRPr="00AD1CFA" w:rsidRDefault="00AD1CFA" w:rsidP="00D45E40">
      <w:pPr>
        <w:widowControl w:val="0"/>
        <w:spacing w:after="120" w:line="276" w:lineRule="auto"/>
        <w:jc w:val="center"/>
        <w:rPr>
          <w:rFonts w:ascii="Times New Roman" w:eastAsia="MS Mincho" w:hAnsi="Times New Roman" w:cs="Times New Roman"/>
          <w:lang w:eastAsia="ja-JP"/>
        </w:rPr>
      </w:pPr>
      <w:r w:rsidRPr="00AD1CFA">
        <w:rPr>
          <w:rFonts w:ascii="Times New Roman" w:eastAsia="MS Mincho" w:hAnsi="Times New Roman" w:cs="Times New Roman"/>
          <w:b/>
          <w:lang w:eastAsia="ja-JP"/>
        </w:rPr>
        <w:lastRenderedPageBreak/>
        <w:t>End Products–Completed or Forthcoming</w:t>
      </w:r>
    </w:p>
    <w:p w14:paraId="519C4117" w14:textId="77777777" w:rsidR="0077427F" w:rsidRPr="0077427F" w:rsidRDefault="0077427F" w:rsidP="00882ED7">
      <w:pPr>
        <w:widowControl w:val="0"/>
        <w:spacing w:after="120" w:line="276" w:lineRule="auto"/>
        <w:ind w:left="360" w:hanging="360"/>
        <w:rPr>
          <w:rFonts w:ascii="Times New Roman" w:eastAsia="MS Mincho" w:hAnsi="Times New Roman" w:cs="Times New Roman"/>
          <w:lang w:eastAsia="ja-JP"/>
        </w:rPr>
      </w:pPr>
    </w:p>
    <w:p w14:paraId="220FAC71" w14:textId="5440B63E" w:rsidR="00882ED7" w:rsidRPr="0062498F" w:rsidRDefault="00882ED7" w:rsidP="00882ED7">
      <w:pPr>
        <w:widowControl w:val="0"/>
        <w:spacing w:after="120" w:line="276" w:lineRule="auto"/>
        <w:ind w:left="360" w:hanging="360"/>
        <w:rPr>
          <w:rFonts w:ascii="Times New Roman" w:eastAsia="MS Mincho" w:hAnsi="Times New Roman" w:cs="Times New Roman"/>
          <w:b/>
          <w:bCs/>
          <w:lang w:eastAsia="ja-JP"/>
        </w:rPr>
      </w:pPr>
      <w:r w:rsidRPr="0062498F">
        <w:rPr>
          <w:rFonts w:ascii="Times New Roman" w:eastAsia="MS Mincho" w:hAnsi="Times New Roman" w:cs="Times New Roman"/>
          <w:b/>
          <w:bCs/>
          <w:lang w:eastAsia="ja-JP"/>
        </w:rPr>
        <w:t>Publications</w:t>
      </w:r>
      <w:r w:rsidR="00B9677B">
        <w:rPr>
          <w:rFonts w:ascii="Times New Roman" w:eastAsia="MS Mincho" w:hAnsi="Times New Roman" w:cs="Times New Roman"/>
          <w:b/>
          <w:bCs/>
          <w:lang w:eastAsia="ja-JP"/>
        </w:rPr>
        <w:t xml:space="preserve"> </w:t>
      </w:r>
      <w:r w:rsidR="001F5741" w:rsidRPr="002648AD">
        <w:rPr>
          <w:rFonts w:ascii="Times New Roman" w:eastAsia="MS Mincho" w:hAnsi="Times New Roman" w:cs="Times New Roman"/>
          <w:lang w:eastAsia="ja-JP"/>
        </w:rPr>
        <w:t>(peer-reviewed)</w:t>
      </w:r>
    </w:p>
    <w:p w14:paraId="4E574198" w14:textId="331775FB" w:rsidR="00882ED7" w:rsidRPr="0062498F" w:rsidRDefault="00882ED7" w:rsidP="00882ED7">
      <w:pPr>
        <w:widowControl w:val="0"/>
        <w:spacing w:after="120" w:line="276" w:lineRule="auto"/>
        <w:ind w:left="360" w:hanging="360"/>
        <w:rPr>
          <w:rFonts w:ascii="Times New Roman" w:eastAsia="MS Mincho" w:hAnsi="Times New Roman" w:cs="Times New Roman"/>
          <w:lang w:eastAsia="ja-JP"/>
        </w:rPr>
      </w:pPr>
      <w:r w:rsidRPr="0062498F">
        <w:rPr>
          <w:rFonts w:ascii="Times New Roman" w:eastAsia="MS Mincho" w:hAnsi="Times New Roman" w:cs="Times New Roman"/>
          <w:lang w:eastAsia="ja-JP"/>
        </w:rPr>
        <w:t xml:space="preserve">Isbilir, S., Catchot, B., Catchot, L., Musser, F.R., Ahn, S.-J. </w:t>
      </w:r>
      <w:r w:rsidRPr="00882ED7">
        <w:rPr>
          <w:rFonts w:ascii="Times New Roman" w:eastAsia="MS Mincho" w:hAnsi="Times New Roman" w:cs="Times New Roman"/>
          <w:b/>
          <w:bCs/>
          <w:lang w:eastAsia="ja-JP"/>
        </w:rPr>
        <w:t>2023.</w:t>
      </w:r>
      <w:r w:rsidRPr="0062498F">
        <w:rPr>
          <w:rFonts w:ascii="Times New Roman" w:eastAsia="MS Mincho" w:hAnsi="Times New Roman" w:cs="Times New Roman"/>
          <w:lang w:eastAsia="ja-JP"/>
        </w:rPr>
        <w:t xml:space="preserve"> Molecular characterization and expression patterns of a ryanodine receptor in soybean looper, </w:t>
      </w:r>
      <w:r w:rsidRPr="00882ED7">
        <w:rPr>
          <w:rFonts w:ascii="Times New Roman" w:eastAsia="MS Mincho" w:hAnsi="Times New Roman" w:cs="Times New Roman"/>
          <w:i/>
          <w:iCs/>
          <w:lang w:eastAsia="ja-JP"/>
        </w:rPr>
        <w:t>Chrysodeixis includens</w:t>
      </w:r>
      <w:r w:rsidRPr="0062498F">
        <w:rPr>
          <w:rFonts w:ascii="Times New Roman" w:eastAsia="MS Mincho" w:hAnsi="Times New Roman" w:cs="Times New Roman"/>
          <w:lang w:eastAsia="ja-JP"/>
        </w:rPr>
        <w:t xml:space="preserve">. </w:t>
      </w:r>
      <w:r w:rsidRPr="00882ED7">
        <w:rPr>
          <w:rFonts w:ascii="Times New Roman" w:eastAsia="MS Mincho" w:hAnsi="Times New Roman" w:cs="Times New Roman"/>
          <w:b/>
          <w:bCs/>
          <w:i/>
          <w:iCs/>
          <w:lang w:eastAsia="ja-JP"/>
        </w:rPr>
        <w:t>Archives of Insect Biochemistry and Physiology</w:t>
      </w:r>
      <w:r w:rsidRPr="0062498F">
        <w:rPr>
          <w:rFonts w:ascii="Times New Roman" w:eastAsia="MS Mincho" w:hAnsi="Times New Roman" w:cs="Times New Roman"/>
          <w:lang w:eastAsia="ja-JP"/>
        </w:rPr>
        <w:t xml:space="preserve">, 114(3), e22047. </w:t>
      </w:r>
      <w:hyperlink r:id="rId8" w:history="1">
        <w:r w:rsidRPr="008F20BB">
          <w:rPr>
            <w:rStyle w:val="Hyperlink"/>
            <w:rFonts w:ascii="Times New Roman" w:eastAsia="MS Mincho" w:hAnsi="Times New Roman" w:cs="Times New Roman"/>
            <w:lang w:eastAsia="ja-JP"/>
          </w:rPr>
          <w:t>https://doi.org/10.1002/arch.22047</w:t>
        </w:r>
      </w:hyperlink>
      <w:r>
        <w:rPr>
          <w:rFonts w:ascii="Times New Roman" w:eastAsia="MS Mincho" w:hAnsi="Times New Roman" w:cs="Times New Roman"/>
          <w:lang w:eastAsia="ja-JP"/>
        </w:rPr>
        <w:t xml:space="preserve"> </w:t>
      </w:r>
      <w:r w:rsidRPr="0062498F">
        <w:rPr>
          <w:rFonts w:ascii="Times New Roman" w:eastAsia="MS Mincho" w:hAnsi="Times New Roman" w:cs="Times New Roman"/>
          <w:lang w:eastAsia="ja-JP"/>
        </w:rPr>
        <w:t xml:space="preserve"> (Published on August 21, 2023).</w:t>
      </w:r>
    </w:p>
    <w:p w14:paraId="047C3632" w14:textId="330A7225" w:rsidR="00882ED7" w:rsidRDefault="00882ED7" w:rsidP="00882ED7">
      <w:pPr>
        <w:widowControl w:val="0"/>
        <w:spacing w:after="120" w:line="276" w:lineRule="auto"/>
        <w:ind w:left="360" w:hanging="360"/>
        <w:rPr>
          <w:rFonts w:ascii="Times New Roman" w:eastAsia="MS Mincho" w:hAnsi="Times New Roman" w:cs="Times New Roman"/>
          <w:lang w:eastAsia="ja-JP"/>
        </w:rPr>
      </w:pPr>
      <w:r w:rsidRPr="0062498F">
        <w:rPr>
          <w:rFonts w:ascii="Times New Roman" w:eastAsia="MS Mincho" w:hAnsi="Times New Roman" w:cs="Times New Roman"/>
          <w:lang w:eastAsia="ja-JP"/>
        </w:rPr>
        <w:t xml:space="preserve">Lee, S., Ahn, S.-J. </w:t>
      </w:r>
      <w:r w:rsidRPr="00FE4121">
        <w:rPr>
          <w:rFonts w:ascii="Times New Roman" w:eastAsia="MS Mincho" w:hAnsi="Times New Roman" w:cs="Times New Roman"/>
          <w:b/>
          <w:bCs/>
          <w:lang w:eastAsia="ja-JP"/>
        </w:rPr>
        <w:t>2024.</w:t>
      </w:r>
      <w:r w:rsidRPr="0062498F">
        <w:rPr>
          <w:rFonts w:ascii="Times New Roman" w:eastAsia="MS Mincho" w:hAnsi="Times New Roman" w:cs="Times New Roman"/>
          <w:lang w:eastAsia="ja-JP"/>
        </w:rPr>
        <w:t xml:space="preserve"> CRISPR/Cas9-mediated knockout of scarlet gene produces eye color mutants in the soybean looper, </w:t>
      </w:r>
      <w:r w:rsidRPr="00FE4121">
        <w:rPr>
          <w:rFonts w:ascii="Times New Roman" w:eastAsia="MS Mincho" w:hAnsi="Times New Roman" w:cs="Times New Roman"/>
          <w:i/>
          <w:iCs/>
          <w:lang w:eastAsia="ja-JP"/>
        </w:rPr>
        <w:t>Chrysodeixis includens</w:t>
      </w:r>
      <w:r w:rsidRPr="0062498F">
        <w:rPr>
          <w:rFonts w:ascii="Times New Roman" w:eastAsia="MS Mincho" w:hAnsi="Times New Roman" w:cs="Times New Roman"/>
          <w:lang w:eastAsia="ja-JP"/>
        </w:rPr>
        <w:t xml:space="preserve">. </w:t>
      </w:r>
      <w:r w:rsidRPr="00FE4121">
        <w:rPr>
          <w:rFonts w:ascii="Times New Roman" w:eastAsia="MS Mincho" w:hAnsi="Times New Roman" w:cs="Times New Roman"/>
          <w:b/>
          <w:bCs/>
          <w:i/>
          <w:iCs/>
          <w:lang w:eastAsia="ja-JP"/>
        </w:rPr>
        <w:t>Archives of Insect Biochemistry and Physiology</w:t>
      </w:r>
      <w:r w:rsidRPr="0062498F">
        <w:rPr>
          <w:rFonts w:ascii="Times New Roman" w:eastAsia="MS Mincho" w:hAnsi="Times New Roman" w:cs="Times New Roman"/>
          <w:lang w:eastAsia="ja-JP"/>
        </w:rPr>
        <w:t xml:space="preserve">, 115(3), e22100. </w:t>
      </w:r>
      <w:hyperlink r:id="rId9" w:history="1">
        <w:r w:rsidR="00FE4121" w:rsidRPr="008F20BB">
          <w:rPr>
            <w:rStyle w:val="Hyperlink"/>
            <w:rFonts w:ascii="Times New Roman" w:eastAsia="MS Mincho" w:hAnsi="Times New Roman" w:cs="Times New Roman"/>
            <w:lang w:eastAsia="ja-JP"/>
          </w:rPr>
          <w:t>https://doi.org/10.1002/arch.22100</w:t>
        </w:r>
      </w:hyperlink>
      <w:r w:rsidR="00FE4121">
        <w:rPr>
          <w:rFonts w:ascii="Times New Roman" w:eastAsia="MS Mincho" w:hAnsi="Times New Roman" w:cs="Times New Roman"/>
          <w:lang w:eastAsia="ja-JP"/>
        </w:rPr>
        <w:t xml:space="preserve"> </w:t>
      </w:r>
      <w:r w:rsidRPr="0062498F">
        <w:rPr>
          <w:rFonts w:ascii="Times New Roman" w:eastAsia="MS Mincho" w:hAnsi="Times New Roman" w:cs="Times New Roman"/>
          <w:lang w:eastAsia="ja-JP"/>
        </w:rPr>
        <w:t xml:space="preserve"> (Published on March 19, 2024).</w:t>
      </w:r>
    </w:p>
    <w:p w14:paraId="4AB34459" w14:textId="0CF97131" w:rsidR="009F54ED" w:rsidRDefault="009F54ED" w:rsidP="00882ED7">
      <w:pPr>
        <w:widowControl w:val="0"/>
        <w:spacing w:after="120" w:line="276" w:lineRule="auto"/>
        <w:ind w:left="360" w:hanging="360"/>
        <w:rPr>
          <w:rFonts w:ascii="Times New Roman" w:eastAsia="MS Mincho" w:hAnsi="Times New Roman" w:cs="Times New Roman"/>
          <w:lang w:eastAsia="ja-JP"/>
        </w:rPr>
      </w:pPr>
      <w:r w:rsidRPr="009F54ED">
        <w:rPr>
          <w:rFonts w:ascii="Times New Roman" w:eastAsia="MS Mincho" w:hAnsi="Times New Roman" w:cs="Times New Roman"/>
          <w:lang w:eastAsia="ja-JP"/>
        </w:rPr>
        <w:t xml:space="preserve">Isbilir, S. </w:t>
      </w:r>
      <w:r w:rsidRPr="004D687C">
        <w:rPr>
          <w:rFonts w:ascii="Times New Roman" w:eastAsia="MS Mincho" w:hAnsi="Times New Roman" w:cs="Times New Roman"/>
          <w:b/>
          <w:bCs/>
          <w:lang w:eastAsia="ja-JP"/>
        </w:rPr>
        <w:t>2024.</w:t>
      </w:r>
      <w:r w:rsidRPr="009F54ED">
        <w:rPr>
          <w:rFonts w:ascii="Times New Roman" w:eastAsia="MS Mincho" w:hAnsi="Times New Roman" w:cs="Times New Roman"/>
          <w:lang w:eastAsia="ja-JP"/>
        </w:rPr>
        <w:t xml:space="preserve"> Assessment of molecular and biochemical resistance mechanisms in soybean looper (</w:t>
      </w:r>
      <w:r w:rsidRPr="009F54ED">
        <w:rPr>
          <w:rFonts w:ascii="Times New Roman" w:eastAsia="MS Mincho" w:hAnsi="Times New Roman" w:cs="Times New Roman"/>
          <w:i/>
          <w:iCs/>
          <w:lang w:eastAsia="ja-JP"/>
        </w:rPr>
        <w:t>Chrysodeixis includens</w:t>
      </w:r>
      <w:r w:rsidRPr="009F54ED">
        <w:rPr>
          <w:rFonts w:ascii="Times New Roman" w:eastAsia="MS Mincho" w:hAnsi="Times New Roman" w:cs="Times New Roman"/>
          <w:lang w:eastAsia="ja-JP"/>
        </w:rPr>
        <w:t xml:space="preserve">) to diamide insecticides. </w:t>
      </w:r>
      <w:r w:rsidRPr="00132433">
        <w:rPr>
          <w:rFonts w:ascii="Times New Roman" w:eastAsia="MS Mincho" w:hAnsi="Times New Roman" w:cs="Times New Roman"/>
          <w:b/>
          <w:bCs/>
          <w:i/>
          <w:iCs/>
          <w:lang w:eastAsia="ja-JP"/>
        </w:rPr>
        <w:t xml:space="preserve">Ph.D. </w:t>
      </w:r>
      <w:r w:rsidR="004D687C" w:rsidRPr="00132433">
        <w:rPr>
          <w:rFonts w:ascii="Times New Roman" w:eastAsia="MS Mincho" w:hAnsi="Times New Roman" w:cs="Times New Roman"/>
          <w:b/>
          <w:bCs/>
          <w:i/>
          <w:iCs/>
          <w:lang w:eastAsia="ja-JP"/>
        </w:rPr>
        <w:t>Dissertation</w:t>
      </w:r>
      <w:r w:rsidRPr="009F54ED">
        <w:rPr>
          <w:rFonts w:ascii="Times New Roman" w:eastAsia="MS Mincho" w:hAnsi="Times New Roman" w:cs="Times New Roman"/>
          <w:lang w:eastAsia="ja-JP"/>
        </w:rPr>
        <w:t>,</w:t>
      </w:r>
      <w:r w:rsidR="004D687C">
        <w:rPr>
          <w:rFonts w:ascii="Times New Roman" w:eastAsia="MS Mincho" w:hAnsi="Times New Roman" w:cs="Times New Roman"/>
          <w:lang w:eastAsia="ja-JP"/>
        </w:rPr>
        <w:t xml:space="preserve"> Mississippi State University</w:t>
      </w:r>
      <w:r w:rsidR="006401E3">
        <w:rPr>
          <w:rFonts w:ascii="Times New Roman" w:eastAsia="MS Mincho" w:hAnsi="Times New Roman" w:cs="Times New Roman"/>
          <w:lang w:eastAsia="ja-JP"/>
        </w:rPr>
        <w:t>, MS, USA.</w:t>
      </w:r>
      <w:r w:rsidRPr="009F54ED">
        <w:rPr>
          <w:rFonts w:ascii="Times New Roman" w:eastAsia="MS Mincho" w:hAnsi="Times New Roman" w:cs="Times New Roman"/>
          <w:lang w:eastAsia="ja-JP"/>
        </w:rPr>
        <w:t xml:space="preserve"> </w:t>
      </w:r>
      <w:hyperlink r:id="rId10" w:history="1">
        <w:r w:rsidR="006401E3" w:rsidRPr="008F20BB">
          <w:rPr>
            <w:rStyle w:val="Hyperlink"/>
            <w:rFonts w:ascii="Times New Roman" w:eastAsia="MS Mincho" w:hAnsi="Times New Roman" w:cs="Times New Roman"/>
            <w:lang w:eastAsia="ja-JP"/>
          </w:rPr>
          <w:t>https://scholarsjunction.msstate.edu/td/6440</w:t>
        </w:r>
      </w:hyperlink>
      <w:r w:rsidR="006401E3">
        <w:rPr>
          <w:rFonts w:ascii="Times New Roman" w:eastAsia="MS Mincho" w:hAnsi="Times New Roman" w:cs="Times New Roman"/>
          <w:lang w:eastAsia="ja-JP"/>
        </w:rPr>
        <w:t xml:space="preserve"> </w:t>
      </w:r>
      <w:r w:rsidRPr="009F54ED">
        <w:rPr>
          <w:rFonts w:ascii="Times New Roman" w:eastAsia="MS Mincho" w:hAnsi="Times New Roman" w:cs="Times New Roman"/>
          <w:lang w:eastAsia="ja-JP"/>
        </w:rPr>
        <w:t xml:space="preserve">(Published on </w:t>
      </w:r>
      <w:r w:rsidR="00C04C22">
        <w:rPr>
          <w:rFonts w:ascii="Times New Roman" w:eastAsia="MS Mincho" w:hAnsi="Times New Roman" w:cs="Times New Roman"/>
          <w:lang w:eastAsia="ja-JP"/>
        </w:rPr>
        <w:t>December</w:t>
      </w:r>
      <w:r w:rsidRPr="009F54ED">
        <w:rPr>
          <w:rFonts w:ascii="Times New Roman" w:eastAsia="MS Mincho" w:hAnsi="Times New Roman" w:cs="Times New Roman"/>
          <w:lang w:eastAsia="ja-JP"/>
        </w:rPr>
        <w:t xml:space="preserve"> </w:t>
      </w:r>
      <w:r w:rsidR="008F38C2">
        <w:rPr>
          <w:rFonts w:ascii="Times New Roman" w:eastAsia="MS Mincho" w:hAnsi="Times New Roman" w:cs="Times New Roman"/>
          <w:lang w:eastAsia="ja-JP"/>
        </w:rPr>
        <w:t>13</w:t>
      </w:r>
      <w:r w:rsidRPr="009F54ED">
        <w:rPr>
          <w:rFonts w:ascii="Times New Roman" w:eastAsia="MS Mincho" w:hAnsi="Times New Roman" w:cs="Times New Roman"/>
          <w:lang w:eastAsia="ja-JP"/>
        </w:rPr>
        <w:t>, 202</w:t>
      </w:r>
      <w:r w:rsidR="00C04C22">
        <w:rPr>
          <w:rFonts w:ascii="Times New Roman" w:eastAsia="MS Mincho" w:hAnsi="Times New Roman" w:cs="Times New Roman"/>
          <w:lang w:eastAsia="ja-JP"/>
        </w:rPr>
        <w:t>4</w:t>
      </w:r>
      <w:r w:rsidRPr="009F54ED">
        <w:rPr>
          <w:rFonts w:ascii="Times New Roman" w:eastAsia="MS Mincho" w:hAnsi="Times New Roman" w:cs="Times New Roman"/>
          <w:lang w:eastAsia="ja-JP"/>
        </w:rPr>
        <w:t>).</w:t>
      </w:r>
    </w:p>
    <w:p w14:paraId="4E6C5AE9" w14:textId="6915C401" w:rsidR="00B9677B" w:rsidRDefault="00B9677B" w:rsidP="00882ED7">
      <w:pPr>
        <w:widowControl w:val="0"/>
        <w:spacing w:after="120" w:line="276" w:lineRule="auto"/>
        <w:ind w:left="360" w:hanging="360"/>
        <w:rPr>
          <w:rFonts w:ascii="Times New Roman" w:eastAsia="MS Mincho" w:hAnsi="Times New Roman" w:cs="Times New Roman"/>
          <w:i/>
          <w:iCs/>
          <w:lang w:eastAsia="ja-JP"/>
        </w:rPr>
      </w:pPr>
      <w:r w:rsidRPr="00B9677B">
        <w:rPr>
          <w:rFonts w:ascii="Times New Roman" w:eastAsia="MS Mincho" w:hAnsi="Times New Roman" w:cs="Times New Roman"/>
          <w:lang w:eastAsia="ja-JP"/>
        </w:rPr>
        <w:t xml:space="preserve">Isbilir, S., Catchot, B., Catchot, L., Musser, F.R., Ahn, S.-J. </w:t>
      </w:r>
      <w:r w:rsidR="00142986">
        <w:rPr>
          <w:rFonts w:ascii="Times New Roman" w:eastAsia="MS Mincho" w:hAnsi="Times New Roman" w:cs="Times New Roman"/>
          <w:lang w:eastAsia="ja-JP"/>
        </w:rPr>
        <w:t xml:space="preserve">Transcriptomic analysis of metabolic resistance to diamide insecticides in </w:t>
      </w:r>
      <w:r w:rsidRPr="00B9677B">
        <w:rPr>
          <w:rFonts w:ascii="Times New Roman" w:eastAsia="MS Mincho" w:hAnsi="Times New Roman" w:cs="Times New Roman"/>
          <w:lang w:eastAsia="ja-JP"/>
        </w:rPr>
        <w:t xml:space="preserve">soybean looper, </w:t>
      </w:r>
      <w:r w:rsidRPr="00142986">
        <w:rPr>
          <w:rFonts w:ascii="Times New Roman" w:eastAsia="MS Mincho" w:hAnsi="Times New Roman" w:cs="Times New Roman"/>
          <w:i/>
          <w:iCs/>
          <w:lang w:eastAsia="ja-JP"/>
        </w:rPr>
        <w:t>Chrysodeixis includens</w:t>
      </w:r>
      <w:r w:rsidR="00142986" w:rsidRPr="00142986">
        <w:rPr>
          <w:rFonts w:ascii="Times New Roman" w:eastAsia="MS Mincho" w:hAnsi="Times New Roman" w:cs="Times New Roman"/>
          <w:i/>
          <w:iCs/>
          <w:lang w:eastAsia="ja-JP"/>
        </w:rPr>
        <w:t>. (Manuscript in preparation)</w:t>
      </w:r>
    </w:p>
    <w:p w14:paraId="0603F65A" w14:textId="3094B70A" w:rsidR="00103DF0" w:rsidRPr="00142986" w:rsidRDefault="00103DF0" w:rsidP="00882ED7">
      <w:pPr>
        <w:widowControl w:val="0"/>
        <w:spacing w:after="120" w:line="276" w:lineRule="auto"/>
        <w:ind w:left="360" w:hanging="360"/>
        <w:rPr>
          <w:rFonts w:ascii="Times New Roman" w:eastAsia="MS Mincho" w:hAnsi="Times New Roman" w:cs="Times New Roman"/>
          <w:i/>
          <w:iCs/>
          <w:lang w:eastAsia="ja-JP"/>
        </w:rPr>
      </w:pPr>
      <w:r w:rsidRPr="00B9677B">
        <w:rPr>
          <w:rFonts w:ascii="Times New Roman" w:eastAsia="MS Mincho" w:hAnsi="Times New Roman" w:cs="Times New Roman"/>
          <w:lang w:eastAsia="ja-JP"/>
        </w:rPr>
        <w:t xml:space="preserve">Isbilir, S., Ahn, S.-J. </w:t>
      </w:r>
      <w:r w:rsidR="0081601B">
        <w:rPr>
          <w:rFonts w:ascii="Times New Roman" w:eastAsia="MS Mincho" w:hAnsi="Times New Roman" w:cs="Times New Roman"/>
          <w:lang w:eastAsia="ja-JP"/>
        </w:rPr>
        <w:t>Insect d</w:t>
      </w:r>
      <w:r>
        <w:rPr>
          <w:rFonts w:ascii="Times New Roman" w:eastAsia="MS Mincho" w:hAnsi="Times New Roman" w:cs="Times New Roman"/>
          <w:lang w:eastAsia="ja-JP"/>
        </w:rPr>
        <w:t>iamide resistance, a review</w:t>
      </w:r>
      <w:r w:rsidRPr="00142986">
        <w:rPr>
          <w:rFonts w:ascii="Times New Roman" w:eastAsia="MS Mincho" w:hAnsi="Times New Roman" w:cs="Times New Roman"/>
          <w:i/>
          <w:iCs/>
          <w:lang w:eastAsia="ja-JP"/>
        </w:rPr>
        <w:t>. (Manuscript in preparation)</w:t>
      </w:r>
    </w:p>
    <w:p w14:paraId="2C37C4B4" w14:textId="77777777" w:rsidR="00882ED7" w:rsidRPr="0062498F" w:rsidRDefault="00882ED7" w:rsidP="00882ED7">
      <w:pPr>
        <w:widowControl w:val="0"/>
        <w:spacing w:after="120" w:line="276" w:lineRule="auto"/>
        <w:ind w:left="360" w:hanging="360"/>
        <w:rPr>
          <w:rFonts w:ascii="Times New Roman" w:eastAsia="MS Mincho" w:hAnsi="Times New Roman" w:cs="Times New Roman"/>
          <w:lang w:eastAsia="ja-JP"/>
        </w:rPr>
      </w:pPr>
    </w:p>
    <w:p w14:paraId="7281EB21" w14:textId="5BDCFEFD" w:rsidR="00882ED7" w:rsidRPr="00F93BD8" w:rsidRDefault="00882ED7" w:rsidP="00882ED7">
      <w:pPr>
        <w:widowControl w:val="0"/>
        <w:spacing w:after="120" w:line="276" w:lineRule="auto"/>
        <w:ind w:left="360" w:hanging="360"/>
        <w:rPr>
          <w:rFonts w:ascii="Times New Roman" w:eastAsia="MS Mincho" w:hAnsi="Times New Roman" w:cs="Times New Roman"/>
          <w:b/>
          <w:bCs/>
          <w:lang w:eastAsia="ja-JP"/>
        </w:rPr>
      </w:pPr>
      <w:r w:rsidRPr="00F93BD8">
        <w:rPr>
          <w:rFonts w:ascii="Times New Roman" w:eastAsia="MS Mincho" w:hAnsi="Times New Roman" w:cs="Times New Roman"/>
          <w:b/>
          <w:bCs/>
          <w:lang w:eastAsia="ja-JP"/>
        </w:rPr>
        <w:t>Extension/Outreach</w:t>
      </w:r>
      <w:r w:rsidR="00B41D29">
        <w:rPr>
          <w:rFonts w:ascii="Times New Roman" w:eastAsia="MS Mincho" w:hAnsi="Times New Roman" w:cs="Times New Roman"/>
          <w:b/>
          <w:bCs/>
          <w:lang w:eastAsia="ja-JP"/>
        </w:rPr>
        <w:t xml:space="preserve"> Article</w:t>
      </w:r>
    </w:p>
    <w:p w14:paraId="7D264499" w14:textId="77777777" w:rsidR="00882ED7" w:rsidRDefault="00882ED7" w:rsidP="00882ED7">
      <w:pPr>
        <w:widowControl w:val="0"/>
        <w:spacing w:after="120" w:line="276" w:lineRule="auto"/>
        <w:ind w:left="360" w:hanging="360"/>
        <w:rPr>
          <w:rFonts w:ascii="Times New Roman" w:eastAsia="MS Mincho" w:hAnsi="Times New Roman" w:cs="Times New Roman"/>
          <w:lang w:eastAsia="ja-JP"/>
        </w:rPr>
      </w:pPr>
      <w:r w:rsidRPr="00F93BD8">
        <w:rPr>
          <w:rFonts w:ascii="Times New Roman" w:eastAsia="MS Mincho" w:hAnsi="Times New Roman" w:cs="Times New Roman"/>
          <w:lang w:eastAsia="ja-JP"/>
        </w:rPr>
        <w:t xml:space="preserve">Beeson, V., Grado, L. </w:t>
      </w:r>
      <w:r w:rsidRPr="00102000">
        <w:rPr>
          <w:rFonts w:ascii="Times New Roman" w:eastAsia="MS Mincho" w:hAnsi="Times New Roman" w:cs="Times New Roman"/>
          <w:b/>
          <w:bCs/>
          <w:lang w:eastAsia="ja-JP"/>
        </w:rPr>
        <w:t>2022.</w:t>
      </w:r>
      <w:r w:rsidRPr="00F93BD8">
        <w:rPr>
          <w:rFonts w:ascii="Times New Roman" w:eastAsia="MS Mincho" w:hAnsi="Times New Roman" w:cs="Times New Roman"/>
          <w:lang w:eastAsia="ja-JP"/>
        </w:rPr>
        <w:t xml:space="preserve"> Under Pressure: Fight Insects from Crop Emergence to Storage. </w:t>
      </w:r>
      <w:r w:rsidRPr="00102000">
        <w:rPr>
          <w:rFonts w:ascii="Times New Roman" w:eastAsia="MS Mincho" w:hAnsi="Times New Roman" w:cs="Times New Roman"/>
          <w:b/>
          <w:bCs/>
          <w:i/>
          <w:iCs/>
          <w:lang w:eastAsia="ja-JP"/>
        </w:rPr>
        <w:t xml:space="preserve">MAFES Discovers </w:t>
      </w:r>
      <w:r w:rsidRPr="00F93BD8">
        <w:rPr>
          <w:rFonts w:ascii="Times New Roman" w:eastAsia="MS Mincho" w:hAnsi="Times New Roman" w:cs="Times New Roman"/>
          <w:lang w:eastAsia="ja-JP"/>
        </w:rPr>
        <w:t xml:space="preserve">Winter Issue, pp. 28-33. </w:t>
      </w:r>
      <w:hyperlink r:id="rId11" w:history="1">
        <w:r w:rsidRPr="005844B0">
          <w:rPr>
            <w:rStyle w:val="Hyperlink"/>
            <w:rFonts w:ascii="Times New Roman" w:eastAsia="MS Mincho" w:hAnsi="Times New Roman" w:cs="Times New Roman"/>
            <w:lang w:eastAsia="ja-JP"/>
          </w:rPr>
          <w:t>https://www.mafes.msstate.edu/discovers/article.asp?id=260</w:t>
        </w:r>
      </w:hyperlink>
    </w:p>
    <w:p w14:paraId="0A62401D" w14:textId="77777777" w:rsidR="00AD1CFA" w:rsidRPr="00CE2F24" w:rsidRDefault="00AD1CFA" w:rsidP="00D45E40">
      <w:pPr>
        <w:widowControl w:val="0"/>
        <w:spacing w:after="120" w:line="276" w:lineRule="auto"/>
        <w:rPr>
          <w:rFonts w:ascii="Times New Roman" w:eastAsia="MS Mincho" w:hAnsi="Times New Roman" w:cs="Times New Roman"/>
          <w:lang w:eastAsia="ja-JP"/>
        </w:rPr>
      </w:pPr>
    </w:p>
    <w:p w14:paraId="02A3856D" w14:textId="083ADE84" w:rsidR="00A671BA" w:rsidRPr="00A671BA" w:rsidRDefault="00A671BA" w:rsidP="00D45E40">
      <w:pPr>
        <w:widowControl w:val="0"/>
        <w:spacing w:after="120" w:line="276" w:lineRule="auto"/>
        <w:rPr>
          <w:rFonts w:ascii="Times New Roman" w:eastAsia="MS Mincho" w:hAnsi="Times New Roman" w:cs="Times New Roman"/>
          <w:b/>
          <w:bCs/>
          <w:lang w:eastAsia="ja-JP"/>
        </w:rPr>
      </w:pPr>
      <w:r>
        <w:rPr>
          <w:rFonts w:ascii="Times New Roman" w:eastAsia="MS Mincho" w:hAnsi="Times New Roman" w:cs="Times New Roman"/>
          <w:b/>
          <w:bCs/>
          <w:lang w:eastAsia="ja-JP"/>
        </w:rPr>
        <w:t xml:space="preserve">Conference </w:t>
      </w:r>
      <w:r w:rsidR="006A75E5">
        <w:rPr>
          <w:rFonts w:ascii="Times New Roman" w:eastAsia="MS Mincho" w:hAnsi="Times New Roman" w:cs="Times New Roman"/>
          <w:b/>
          <w:bCs/>
          <w:lang w:eastAsia="ja-JP"/>
        </w:rPr>
        <w:t>P</w:t>
      </w:r>
      <w:r w:rsidRPr="00A671BA">
        <w:rPr>
          <w:rFonts w:ascii="Times New Roman" w:eastAsia="MS Mincho" w:hAnsi="Times New Roman" w:cs="Times New Roman"/>
          <w:b/>
          <w:bCs/>
          <w:lang w:eastAsia="ja-JP"/>
        </w:rPr>
        <w:t>resentations</w:t>
      </w:r>
    </w:p>
    <w:p w14:paraId="54E6433B"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Musser, F. R, Ahn, S.-J. 2021. Molecular cloning of ryanodine receptor, a target of diamide insecticides, in soybean looper, Chrysodeixis includens. The 85th Annual Mississippi Academy of Sciences Meeting, August 5-6, Biloxi, MS.</w:t>
      </w:r>
    </w:p>
    <w:p w14:paraId="4E55448D"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Musser, F. R., Ahn, S.-J. 2021. Molecular cloning of a ryanodine receptor, a target of diamide insecticides, in the soybean looper, Chrysodeixis includens. The 10th Annual Meeting of MEA and MAPPN, November 8-9, Mississippi State, MS.</w:t>
      </w:r>
    </w:p>
    <w:p w14:paraId="32BB7FE1"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B., Musser, F. R., Ahn, S.-J., 2022. Expression profiles of the ryanodine receptor, a target of diamide insecticides, in soybean looper, Chrysodeixis includens. The 86th Annual Mississippi Academy of Sciences Meeting, March 31-April 1, Biloxi, MS.</w:t>
      </w:r>
    </w:p>
    <w:p w14:paraId="5F1FADC5"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B., Musser, F. R., Ahn, S.-J. 2021. Molecular cloning of a ryanodine receptor, a target of diamide insecticides, in the soybean looper, Chrysodeixis includens. BCH-EPP Student Research Symposium, November 19, Mississippi State, MS.</w:t>
      </w:r>
    </w:p>
    <w:p w14:paraId="39965493" w14:textId="6E010819" w:rsid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 xml:space="preserve">Isbilir, S., Catchot, B., Musser, F. R., Ahn, S.-J., 2022. Expression profiles of the ryanodine receptor, a target of diamide insecticides, in soybean looper, Chrysodeixis includens. 2022 Joint SEB &amp; APS-CD </w:t>
      </w:r>
      <w:r w:rsidRPr="00A671BA">
        <w:rPr>
          <w:rFonts w:ascii="Times New Roman" w:eastAsia="MS Mincho" w:hAnsi="Times New Roman" w:cs="Times New Roman"/>
          <w:lang w:eastAsia="ja-JP"/>
        </w:rPr>
        <w:lastRenderedPageBreak/>
        <w:t>Meeting, March 26-30, San Juan, Puerto Rico (Virtual).</w:t>
      </w:r>
    </w:p>
    <w:p w14:paraId="17663526"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B., Musser, F. R., Ahn, S.-J., 2022. Molecular cloning, mutation frequency analysis, and expression profiling of insect ryanodine receptor in soybean looper, Chrysodeixis includens. Fall 2022 Graduate Research Symposium, October 22, Mississippi State, MS. (Oral winner, 3rd place)</w:t>
      </w:r>
    </w:p>
    <w:p w14:paraId="0C38DD6B"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B., Musser, F. R, Ahn, S.-J. 2022. Mutation frequency analysis and expression profiling of insect ryanodine receptor in soybean looper, Chrysodeixis includens. The 87th Annual Mississippi Academy of Sciences Meeting, February 23-24, Biloxi, MS.</w:t>
      </w:r>
    </w:p>
    <w:p w14:paraId="2D63CE79"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L., Musser, F. R, Ahn, S.-J. 2023. Mutation frequency analysis and expression profiling of insect ryanodine receptor in soybean looper, Chrysodeixis includens. 2023 Southeastern Branch Meeting of Entomological Society of America, March 12-15, Little Rock, AR.</w:t>
      </w:r>
    </w:p>
    <w:p w14:paraId="7293E1ED"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L., Musser, F. R, Ahn, S.-J. 2023. Revealing interactions between soybean loopers (Chrysodeixis includens) and chlorantraniliprole by transcriptome analysis. Mississippi Academy of Sciences - Summer Science and Engineering Symposium, July 25, Starkville, MS.</w:t>
      </w:r>
    </w:p>
    <w:p w14:paraId="31FBF38C"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L., Musser, F. R, Ahn, S.-J. 2023. Transcriptome analysis of Chrysodeixis includens provides insight into the potential resistance mechanism to diamide insecticides. Annual Meeting of Entomological Society of America, November 4-8, National Harbor, MD.</w:t>
      </w:r>
    </w:p>
    <w:p w14:paraId="09679C1C"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Catchot, B., Musser, F. R, Ahn, S.-J. 2023. Understanding potential resistance mechanisms to diamides in Chrysodeixis includens via transcriptome analysis. The 88th Annual Mississippi Academy of Sciences Meeting, February 29 - March 1, Hattiesburg, MS.</w:t>
      </w:r>
    </w:p>
    <w:p w14:paraId="4C9F10CD"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Lee, S. (Author &amp; Presenter), Ahn, S. (Author), 2024. "CRISPR/Cas9 Genome Editing of a Pigment Transporter Gene Scarlet in the Soybean Looper, Chrysodeixis includens." 88th Annual Meeting of Mississippi Academy of Sciences, Hattiesburg, MS.</w:t>
      </w:r>
    </w:p>
    <w:p w14:paraId="5E0F3853" w14:textId="77777777" w:rsidR="00A671BA" w:rsidRPr="00A671BA" w:rsidRDefault="00A671BA" w:rsidP="00D45E40">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(Author &amp; Presenter), Catchot, L., Musser, F., Ahn, S., 2024. "Understanding Potential Resistance Mechanisms to Diamides in Chrysodeixis includens via Transcriptome Analysis." 88th Annual Meeting of Mississippi Academy of Sciences, Hattiesburg, MS.</w:t>
      </w:r>
    </w:p>
    <w:p w14:paraId="5D60A770" w14:textId="0142845D" w:rsidR="00A86EBA" w:rsidRDefault="00A671BA" w:rsidP="00D655A9">
      <w:pPr>
        <w:widowControl w:val="0"/>
        <w:spacing w:after="120" w:line="276" w:lineRule="auto"/>
        <w:ind w:left="360" w:hanging="360"/>
        <w:rPr>
          <w:rFonts w:ascii="Times New Roman" w:eastAsia="MS Mincho" w:hAnsi="Times New Roman" w:cs="Times New Roman"/>
          <w:lang w:eastAsia="ja-JP"/>
        </w:rPr>
      </w:pPr>
      <w:r w:rsidRPr="00A671BA">
        <w:rPr>
          <w:rFonts w:ascii="Times New Roman" w:eastAsia="MS Mincho" w:hAnsi="Times New Roman" w:cs="Times New Roman"/>
          <w:lang w:eastAsia="ja-JP"/>
        </w:rPr>
        <w:t>Isbilir, S. (Author &amp; Presenter), Catchot, L. (Author), Musser, F. (Author), Ahn, S. (Author), 2024. "Resistance Mechanisms to Diamides in the Soybean Looper (Chrysodeixis includens)." Entomological Society of America, Phoenix, AZ.</w:t>
      </w:r>
      <w:r w:rsidR="00A86EBA">
        <w:rPr>
          <w:rFonts w:ascii="Times New Roman" w:eastAsia="MS Mincho" w:hAnsi="Times New Roman" w:cs="Times New Roman"/>
          <w:lang w:eastAsia="ja-JP"/>
        </w:rPr>
        <w:br w:type="page"/>
      </w:r>
    </w:p>
    <w:p w14:paraId="764250F4" w14:textId="77777777" w:rsidR="00AD1CFA" w:rsidRPr="00AD1CFA" w:rsidRDefault="00AD1CFA" w:rsidP="00D45E40">
      <w:pPr>
        <w:widowControl w:val="0"/>
        <w:spacing w:after="120" w:line="276" w:lineRule="auto"/>
        <w:jc w:val="center"/>
        <w:rPr>
          <w:rFonts w:ascii="Times New Roman" w:eastAsia="MS Mincho" w:hAnsi="Times New Roman" w:cs="Times New Roman"/>
          <w:lang w:eastAsia="ja-JP"/>
        </w:rPr>
      </w:pPr>
      <w:r w:rsidRPr="00AD1CFA">
        <w:rPr>
          <w:rFonts w:ascii="Times New Roman" w:eastAsia="MS Mincho" w:hAnsi="Times New Roman" w:cs="Times New Roman"/>
          <w:b/>
          <w:lang w:eastAsia="ja-JP"/>
        </w:rPr>
        <w:lastRenderedPageBreak/>
        <w:t>Graphics/Tables</w:t>
      </w:r>
    </w:p>
    <w:p w14:paraId="3E11A913" w14:textId="77777777" w:rsidR="00DB2EC4" w:rsidRDefault="00DB2EC4" w:rsidP="00DB2EC4">
      <w:pPr>
        <w:keepNext/>
        <w:widowControl w:val="0"/>
        <w:autoSpaceDE w:val="0"/>
        <w:autoSpaceDN w:val="0"/>
        <w:spacing w:after="120" w:line="276" w:lineRule="auto"/>
        <w:jc w:val="center"/>
      </w:pPr>
      <w:r w:rsidRPr="00DB2EC4">
        <w:rPr>
          <w:rFonts w:ascii="Times New Roman" w:eastAsia="MS Mincho" w:hAnsi="Times New Roman" w:cs="Times New Roman"/>
          <w:bCs/>
          <w:noProof/>
          <w:lang w:eastAsia="ja-JP"/>
        </w:rPr>
        <w:drawing>
          <wp:inline distT="0" distB="0" distL="0" distR="0" wp14:anchorId="566E0551" wp14:editId="0446E64A">
            <wp:extent cx="4781585" cy="2181241"/>
            <wp:effectExtent l="0" t="0" r="0" b="9525"/>
            <wp:docPr id="927482908" name="Picture 1" descr="A close 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82908" name="Picture 1" descr="A close up of a bug&#10;&#10;AI-generated content may be incorrect."/>
                    <pic:cNvPicPr/>
                  </pic:nvPicPr>
                  <pic:blipFill>
                    <a:blip r:embed="rId12"/>
                    <a:stretch>
                      <a:fillRect/>
                    </a:stretch>
                  </pic:blipFill>
                  <pic:spPr>
                    <a:xfrm>
                      <a:off x="0" y="0"/>
                      <a:ext cx="4781585" cy="2181241"/>
                    </a:xfrm>
                    <a:prstGeom prst="rect">
                      <a:avLst/>
                    </a:prstGeom>
                  </pic:spPr>
                </pic:pic>
              </a:graphicData>
            </a:graphic>
          </wp:inline>
        </w:drawing>
      </w:r>
    </w:p>
    <w:p w14:paraId="00E787F9" w14:textId="7DE7D220" w:rsidR="00DB2EC4" w:rsidRDefault="00DB2EC4" w:rsidP="00DB2EC4">
      <w:pPr>
        <w:pStyle w:val="Caption"/>
        <w:jc w:val="center"/>
        <w:rPr>
          <w:rFonts w:ascii="Times New Roman" w:hAnsi="Times New Roman" w:cs="Times New Roman"/>
          <w:i w:val="0"/>
          <w:iCs w:val="0"/>
          <w:color w:val="auto"/>
          <w:sz w:val="22"/>
          <w:szCs w:val="22"/>
        </w:rPr>
      </w:pPr>
      <w:r w:rsidRPr="00DB2EC4">
        <w:rPr>
          <w:rFonts w:ascii="Times New Roman" w:hAnsi="Times New Roman" w:cs="Times New Roman"/>
          <w:b/>
          <w:bCs/>
          <w:i w:val="0"/>
          <w:iCs w:val="0"/>
          <w:color w:val="auto"/>
          <w:sz w:val="22"/>
          <w:szCs w:val="22"/>
        </w:rPr>
        <w:t xml:space="preserve">Figure </w:t>
      </w:r>
      <w:r w:rsidRPr="00DB2EC4">
        <w:rPr>
          <w:rFonts w:ascii="Times New Roman" w:hAnsi="Times New Roman" w:cs="Times New Roman"/>
          <w:b/>
          <w:bCs/>
          <w:i w:val="0"/>
          <w:iCs w:val="0"/>
          <w:color w:val="auto"/>
          <w:sz w:val="22"/>
          <w:szCs w:val="22"/>
        </w:rPr>
        <w:fldChar w:fldCharType="begin"/>
      </w:r>
      <w:r w:rsidRPr="00DB2EC4">
        <w:rPr>
          <w:rFonts w:ascii="Times New Roman" w:hAnsi="Times New Roman" w:cs="Times New Roman"/>
          <w:b/>
          <w:bCs/>
          <w:i w:val="0"/>
          <w:iCs w:val="0"/>
          <w:color w:val="auto"/>
          <w:sz w:val="22"/>
          <w:szCs w:val="22"/>
        </w:rPr>
        <w:instrText xml:space="preserve"> SEQ Figure \* ARABIC </w:instrText>
      </w:r>
      <w:r w:rsidRPr="00DB2EC4">
        <w:rPr>
          <w:rFonts w:ascii="Times New Roman" w:hAnsi="Times New Roman" w:cs="Times New Roman"/>
          <w:b/>
          <w:bCs/>
          <w:i w:val="0"/>
          <w:iCs w:val="0"/>
          <w:color w:val="auto"/>
          <w:sz w:val="22"/>
          <w:szCs w:val="22"/>
        </w:rPr>
        <w:fldChar w:fldCharType="separate"/>
      </w:r>
      <w:r w:rsidR="00FA5DDD">
        <w:rPr>
          <w:rFonts w:ascii="Times New Roman" w:hAnsi="Times New Roman" w:cs="Times New Roman"/>
          <w:b/>
          <w:bCs/>
          <w:i w:val="0"/>
          <w:iCs w:val="0"/>
          <w:noProof/>
          <w:color w:val="auto"/>
          <w:sz w:val="22"/>
          <w:szCs w:val="22"/>
        </w:rPr>
        <w:t>1</w:t>
      </w:r>
      <w:r w:rsidRPr="00DB2EC4">
        <w:rPr>
          <w:rFonts w:ascii="Times New Roman" w:hAnsi="Times New Roman" w:cs="Times New Roman"/>
          <w:b/>
          <w:bCs/>
          <w:i w:val="0"/>
          <w:iCs w:val="0"/>
          <w:color w:val="auto"/>
          <w:sz w:val="22"/>
          <w:szCs w:val="22"/>
        </w:rPr>
        <w:fldChar w:fldCharType="end"/>
      </w:r>
      <w:r w:rsidRPr="00DB2EC4">
        <w:rPr>
          <w:rFonts w:ascii="Times New Roman" w:hAnsi="Times New Roman" w:cs="Times New Roman"/>
          <w:b/>
          <w:bCs/>
          <w:i w:val="0"/>
          <w:iCs w:val="0"/>
          <w:color w:val="auto"/>
          <w:sz w:val="22"/>
          <w:szCs w:val="22"/>
        </w:rPr>
        <w:t>.</w:t>
      </w:r>
      <w:r w:rsidRPr="00DB2EC4">
        <w:rPr>
          <w:rFonts w:ascii="Times New Roman" w:hAnsi="Times New Roman" w:cs="Times New Roman"/>
          <w:i w:val="0"/>
          <w:iCs w:val="0"/>
          <w:color w:val="auto"/>
          <w:sz w:val="22"/>
          <w:szCs w:val="22"/>
        </w:rPr>
        <w:t xml:space="preserve"> Soybean looper (</w:t>
      </w:r>
      <w:r w:rsidRPr="00DB2EC4">
        <w:rPr>
          <w:rFonts w:ascii="Times New Roman" w:hAnsi="Times New Roman" w:cs="Times New Roman"/>
          <w:color w:val="auto"/>
          <w:sz w:val="22"/>
          <w:szCs w:val="22"/>
        </w:rPr>
        <w:t>Chrysodeixis includens</w:t>
      </w:r>
      <w:r w:rsidRPr="00DB2EC4">
        <w:rPr>
          <w:rFonts w:ascii="Times New Roman" w:hAnsi="Times New Roman" w:cs="Times New Roman"/>
          <w:i w:val="0"/>
          <w:iCs w:val="0"/>
          <w:color w:val="auto"/>
          <w:sz w:val="22"/>
          <w:szCs w:val="22"/>
        </w:rPr>
        <w:t>). A, larva; B, adult.</w:t>
      </w:r>
    </w:p>
    <w:p w14:paraId="69491331" w14:textId="77777777" w:rsidR="00A147E5" w:rsidRPr="00A147E5" w:rsidRDefault="00A147E5" w:rsidP="00A147E5"/>
    <w:p w14:paraId="25633CEF" w14:textId="77777777" w:rsidR="003A41D1" w:rsidRDefault="003A41D1" w:rsidP="00487C73">
      <w:pPr>
        <w:keepNext/>
        <w:widowControl w:val="0"/>
        <w:autoSpaceDE w:val="0"/>
        <w:autoSpaceDN w:val="0"/>
        <w:spacing w:after="120" w:line="276" w:lineRule="auto"/>
        <w:jc w:val="center"/>
      </w:pPr>
      <w:r w:rsidRPr="003A41D1">
        <w:rPr>
          <w:rFonts w:ascii="Times New Roman" w:eastAsia="MS Mincho" w:hAnsi="Times New Roman" w:cs="Times New Roman"/>
          <w:bCs/>
          <w:noProof/>
          <w:lang w:eastAsia="ja-JP"/>
        </w:rPr>
        <w:drawing>
          <wp:inline distT="0" distB="0" distL="0" distR="0" wp14:anchorId="44375283" wp14:editId="2C09AA9A">
            <wp:extent cx="4605590" cy="4465930"/>
            <wp:effectExtent l="0" t="0" r="5080" b="0"/>
            <wp:docPr id="1268878091" name="Picture 1" descr="Chromatographs indicating genotyping results is presented. PR21 population was found to be not containing E1338d, Q4594L, I4790M/K, Y4891F, and G4946E mutations, but containing Y4667C mutation in RyR.">
              <a:extLst xmlns:a="http://schemas.openxmlformats.org/drawingml/2006/main">
                <a:ext uri="{FF2B5EF4-FFF2-40B4-BE49-F238E27FC236}">
                  <a16:creationId xmlns:a16="http://schemas.microsoft.com/office/drawing/2014/main" id="{702D46CC-CE9C-0288-D75A-2BEB11879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romatographs indicating genotyping results is presented. PR21 population was found to be not containing E1338d, Q4594L, I4790M/K, Y4891F, and G4946E mutations, but containing Y4667C mutation in RyR.">
                      <a:extLst>
                        <a:ext uri="{FF2B5EF4-FFF2-40B4-BE49-F238E27FC236}">
                          <a16:creationId xmlns:a16="http://schemas.microsoft.com/office/drawing/2014/main" id="{702D46CC-CE9C-0288-D75A-2BEB11879E2E}"/>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7477" cy="4467760"/>
                    </a:xfrm>
                    <a:prstGeom prst="rect">
                      <a:avLst/>
                    </a:prstGeom>
                    <a:noFill/>
                  </pic:spPr>
                </pic:pic>
              </a:graphicData>
            </a:graphic>
          </wp:inline>
        </w:drawing>
      </w:r>
    </w:p>
    <w:p w14:paraId="3D0952CE" w14:textId="4D73CFD4" w:rsidR="003D2C9E" w:rsidRDefault="003A41D1" w:rsidP="006B42AF">
      <w:pPr>
        <w:pStyle w:val="Caption"/>
        <w:ind w:left="990" w:right="990"/>
        <w:rPr>
          <w:rFonts w:ascii="Times New Roman" w:hAnsi="Times New Roman" w:cs="Times New Roman"/>
          <w:i w:val="0"/>
          <w:iCs w:val="0"/>
          <w:color w:val="auto"/>
          <w:sz w:val="22"/>
          <w:szCs w:val="22"/>
        </w:rPr>
      </w:pPr>
      <w:r w:rsidRPr="00487C73">
        <w:rPr>
          <w:rFonts w:ascii="Times New Roman" w:hAnsi="Times New Roman" w:cs="Times New Roman"/>
          <w:b/>
          <w:bCs/>
          <w:i w:val="0"/>
          <w:iCs w:val="0"/>
          <w:color w:val="auto"/>
          <w:sz w:val="22"/>
          <w:szCs w:val="22"/>
        </w:rPr>
        <w:t xml:space="preserve">Figure </w:t>
      </w:r>
      <w:r w:rsidRPr="00487C73">
        <w:rPr>
          <w:rFonts w:ascii="Times New Roman" w:hAnsi="Times New Roman" w:cs="Times New Roman"/>
          <w:b/>
          <w:bCs/>
          <w:i w:val="0"/>
          <w:iCs w:val="0"/>
          <w:color w:val="auto"/>
          <w:sz w:val="22"/>
          <w:szCs w:val="22"/>
        </w:rPr>
        <w:fldChar w:fldCharType="begin"/>
      </w:r>
      <w:r w:rsidRPr="00487C73">
        <w:rPr>
          <w:rFonts w:ascii="Times New Roman" w:hAnsi="Times New Roman" w:cs="Times New Roman"/>
          <w:b/>
          <w:bCs/>
          <w:i w:val="0"/>
          <w:iCs w:val="0"/>
          <w:color w:val="auto"/>
          <w:sz w:val="22"/>
          <w:szCs w:val="22"/>
        </w:rPr>
        <w:instrText xml:space="preserve"> SEQ Figure \* ARABIC </w:instrText>
      </w:r>
      <w:r w:rsidRPr="00487C73">
        <w:rPr>
          <w:rFonts w:ascii="Times New Roman" w:hAnsi="Times New Roman" w:cs="Times New Roman"/>
          <w:b/>
          <w:bCs/>
          <w:i w:val="0"/>
          <w:iCs w:val="0"/>
          <w:color w:val="auto"/>
          <w:sz w:val="22"/>
          <w:szCs w:val="22"/>
        </w:rPr>
        <w:fldChar w:fldCharType="separate"/>
      </w:r>
      <w:r w:rsidR="00FA5DDD">
        <w:rPr>
          <w:rFonts w:ascii="Times New Roman" w:hAnsi="Times New Roman" w:cs="Times New Roman"/>
          <w:b/>
          <w:bCs/>
          <w:i w:val="0"/>
          <w:iCs w:val="0"/>
          <w:noProof/>
          <w:color w:val="auto"/>
          <w:sz w:val="22"/>
          <w:szCs w:val="22"/>
        </w:rPr>
        <w:t>2</w:t>
      </w:r>
      <w:r w:rsidRPr="00487C73">
        <w:rPr>
          <w:rFonts w:ascii="Times New Roman" w:hAnsi="Times New Roman" w:cs="Times New Roman"/>
          <w:b/>
          <w:bCs/>
          <w:i w:val="0"/>
          <w:iCs w:val="0"/>
          <w:color w:val="auto"/>
          <w:sz w:val="22"/>
          <w:szCs w:val="22"/>
        </w:rPr>
        <w:fldChar w:fldCharType="end"/>
      </w:r>
      <w:r w:rsidRPr="00487C73">
        <w:rPr>
          <w:rFonts w:ascii="Times New Roman" w:hAnsi="Times New Roman" w:cs="Times New Roman"/>
          <w:b/>
          <w:bCs/>
          <w:i w:val="0"/>
          <w:iCs w:val="0"/>
          <w:color w:val="auto"/>
          <w:sz w:val="22"/>
          <w:szCs w:val="22"/>
        </w:rPr>
        <w:t>.</w:t>
      </w:r>
      <w:r w:rsidRPr="003A41D1">
        <w:rPr>
          <w:rFonts w:ascii="Times New Roman" w:hAnsi="Times New Roman" w:cs="Times New Roman"/>
          <w:i w:val="0"/>
          <w:iCs w:val="0"/>
          <w:color w:val="auto"/>
          <w:sz w:val="22"/>
          <w:szCs w:val="22"/>
        </w:rPr>
        <w:t xml:space="preserve"> Chromatogram of the results of genotype screening of the PR21 population for RyR mutation sites associated with diamide resistance.</w:t>
      </w:r>
    </w:p>
    <w:p w14:paraId="48AA94AE" w14:textId="7BBC3A8A" w:rsidR="002B3276" w:rsidRDefault="002B3276" w:rsidP="002B3276">
      <w:pPr>
        <w:widowControl w:val="0"/>
        <w:autoSpaceDE w:val="0"/>
        <w:autoSpaceDN w:val="0"/>
        <w:spacing w:after="120" w:line="276" w:lineRule="auto"/>
        <w:jc w:val="center"/>
        <w:rPr>
          <w:rFonts w:ascii="Times New Roman" w:eastAsia="MS Mincho" w:hAnsi="Times New Roman" w:cs="Times New Roman"/>
          <w:bCs/>
          <w:lang w:eastAsia="ja-JP"/>
        </w:rPr>
      </w:pPr>
      <w:r w:rsidRPr="002B3276">
        <w:rPr>
          <w:rFonts w:ascii="Times New Roman" w:eastAsia="MS Mincho" w:hAnsi="Times New Roman" w:cs="Times New Roman"/>
          <w:bCs/>
          <w:noProof/>
          <w:lang w:eastAsia="ja-JP"/>
        </w:rPr>
        <w:lastRenderedPageBreak/>
        <w:drawing>
          <wp:inline distT="0" distB="0" distL="0" distR="0" wp14:anchorId="7F1EBEE8" wp14:editId="5F2AD555">
            <wp:extent cx="4334256" cy="2375814"/>
            <wp:effectExtent l="0" t="0" r="0" b="5715"/>
            <wp:docPr id="837176929" name="Picture 1" descr="The screening was conducted by employing the recognition site of the TaiI restriction enzyme (5`-ACGT-3`), which is in the WT RyR sequence of the Y4667C/D mutation site. The product size of CincRyR_Y4667_F/_R PCR amplicon is 155 bp. After the digestion with the TaiI enzyme, the expected products were calculated as 103 bp and 52 bp. By applying this feature of the TaiI enzyme, the screening was preceded">
              <a:extLst xmlns:a="http://schemas.openxmlformats.org/drawingml/2006/main">
                <a:ext uri="{FF2B5EF4-FFF2-40B4-BE49-F238E27FC236}">
                  <a16:creationId xmlns:a16="http://schemas.microsoft.com/office/drawing/2014/main" id="{0BD78FD7-AE33-099E-E301-F4B2D45DD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screening was conducted by employing the recognition site of the TaiI restriction enzyme (5`-ACGT-3`), which is in the WT RyR sequence of the Y4667C/D mutation site. The product size of CincRyR_Y4667_F/_R PCR amplicon is 155 bp. After the digestion with the TaiI enzyme, the expected products were calculated as 103 bp and 52 bp. By applying this feature of the TaiI enzyme, the screening was preceded">
                      <a:extLst>
                        <a:ext uri="{FF2B5EF4-FFF2-40B4-BE49-F238E27FC236}">
                          <a16:creationId xmlns:a16="http://schemas.microsoft.com/office/drawing/2014/main" id="{0BD78FD7-AE33-099E-E301-F4B2D45DD7B9}"/>
                        </a:ext>
                      </a:extLst>
                    </pic:cNvPr>
                    <pic:cNvPicPr>
                      <a:picLocks noChangeAspect="1"/>
                    </pic:cNvPicPr>
                  </pic:nvPicPr>
                  <pic:blipFill>
                    <a:blip r:embed="rId14"/>
                    <a:stretch>
                      <a:fillRect/>
                    </a:stretch>
                  </pic:blipFill>
                  <pic:spPr>
                    <a:xfrm>
                      <a:off x="0" y="0"/>
                      <a:ext cx="4342981" cy="2380597"/>
                    </a:xfrm>
                    <a:prstGeom prst="rect">
                      <a:avLst/>
                    </a:prstGeom>
                  </pic:spPr>
                </pic:pic>
              </a:graphicData>
            </a:graphic>
          </wp:inline>
        </w:drawing>
      </w:r>
    </w:p>
    <w:p w14:paraId="576AA9FD" w14:textId="1B138F05" w:rsidR="002B3276" w:rsidRPr="002B3276" w:rsidRDefault="002B3276" w:rsidP="006B42AF">
      <w:pPr>
        <w:spacing w:after="0" w:line="276" w:lineRule="auto"/>
        <w:rPr>
          <w:rFonts w:ascii="Times New Roman" w:eastAsia="Calibri" w:hAnsi="Times New Roman" w:cs="Times New Roman"/>
          <w:lang w:eastAsia="en-US"/>
        </w:rPr>
      </w:pPr>
      <w:bookmarkStart w:id="0" w:name="_Toc181303047"/>
      <w:r w:rsidRPr="002B3276">
        <w:rPr>
          <w:rFonts w:ascii="Times New Roman" w:eastAsia="Calibri" w:hAnsi="Times New Roman" w:cs="Times New Roman"/>
          <w:b/>
          <w:bCs/>
          <w:lang w:eastAsia="en-US"/>
        </w:rPr>
        <w:t>Figure 3.</w:t>
      </w:r>
      <w:r>
        <w:rPr>
          <w:rFonts w:ascii="Times New Roman" w:eastAsia="Calibri" w:hAnsi="Times New Roman" w:cs="Times New Roman"/>
          <w:i/>
          <w:iCs/>
          <w:lang w:eastAsia="en-US"/>
        </w:rPr>
        <w:t xml:space="preserve"> </w:t>
      </w:r>
      <w:r w:rsidRPr="002B3276">
        <w:rPr>
          <w:rFonts w:ascii="Times New Roman" w:eastAsia="Calibri" w:hAnsi="Times New Roman" w:cs="Times New Roman"/>
          <w:i/>
          <w:iCs/>
          <w:lang w:eastAsia="en-US"/>
        </w:rPr>
        <w:t>Tai</w:t>
      </w:r>
      <w:r w:rsidRPr="002B3276">
        <w:rPr>
          <w:rFonts w:ascii="Times New Roman" w:eastAsia="Calibri" w:hAnsi="Times New Roman" w:cs="Times New Roman"/>
          <w:lang w:eastAsia="en-US"/>
        </w:rPr>
        <w:t>I restriction enzyme digestion.</w:t>
      </w:r>
      <w:bookmarkEnd w:id="0"/>
      <w:r>
        <w:rPr>
          <w:rFonts w:ascii="Times New Roman" w:eastAsia="Calibri" w:hAnsi="Times New Roman" w:cs="Times New Roman"/>
          <w:lang w:eastAsia="en-US"/>
        </w:rPr>
        <w:t xml:space="preserve"> </w:t>
      </w:r>
      <w:r w:rsidRPr="002B3276">
        <w:rPr>
          <w:rFonts w:ascii="Times New Roman" w:eastAsia="Calibri" w:hAnsi="Times New Roman" w:cs="Times New Roman"/>
          <w:i/>
          <w:iCs/>
          <w:lang w:eastAsia="en-US"/>
        </w:rPr>
        <w:t>Tai</w:t>
      </w:r>
      <w:r w:rsidRPr="002B3276">
        <w:rPr>
          <w:rFonts w:ascii="Times New Roman" w:eastAsia="Calibri" w:hAnsi="Times New Roman" w:cs="Times New Roman"/>
          <w:lang w:eastAsia="en-US"/>
        </w:rPr>
        <w:t xml:space="preserve">I restriction enzyme recognizes ACGT^ site and cuts best at 65°C in 10 minutes using a universal FastDigest Buffer. Isoschizomers: HpyCH4IV, MaeII. (A) The </w:t>
      </w:r>
      <w:r w:rsidRPr="002B3276">
        <w:rPr>
          <w:rFonts w:ascii="Times New Roman" w:eastAsia="Calibri" w:hAnsi="Times New Roman" w:cs="Times New Roman"/>
          <w:i/>
          <w:iCs/>
          <w:lang w:eastAsia="en-US"/>
        </w:rPr>
        <w:t>Tai</w:t>
      </w:r>
      <w:r w:rsidRPr="002B3276">
        <w:rPr>
          <w:rFonts w:ascii="Times New Roman" w:eastAsia="Calibri" w:hAnsi="Times New Roman" w:cs="Times New Roman"/>
          <w:lang w:eastAsia="en-US"/>
        </w:rPr>
        <w:t>I restriction enzyme digestion result</w:t>
      </w:r>
      <w:r w:rsidR="009211C0">
        <w:rPr>
          <w:rFonts w:ascii="Times New Roman" w:eastAsia="Calibri" w:hAnsi="Times New Roman" w:cs="Times New Roman"/>
          <w:lang w:eastAsia="en-US"/>
        </w:rPr>
        <w:t>s</w:t>
      </w:r>
      <w:r w:rsidRPr="002B3276">
        <w:rPr>
          <w:rFonts w:ascii="Times New Roman" w:eastAsia="Calibri" w:hAnsi="Times New Roman" w:cs="Times New Roman"/>
          <w:lang w:eastAsia="en-US"/>
        </w:rPr>
        <w:t xml:space="preserve"> on 4% agarose gel, (B) </w:t>
      </w:r>
      <w:r w:rsidRPr="002B3276">
        <w:rPr>
          <w:rFonts w:ascii="Times New Roman" w:eastAsia="Calibri" w:hAnsi="Times New Roman" w:cs="Times New Roman"/>
          <w:i/>
          <w:iCs/>
          <w:lang w:eastAsia="en-US"/>
        </w:rPr>
        <w:t>Tai</w:t>
      </w:r>
      <w:r w:rsidRPr="002B3276">
        <w:rPr>
          <w:rFonts w:ascii="Times New Roman" w:eastAsia="Calibri" w:hAnsi="Times New Roman" w:cs="Times New Roman"/>
          <w:lang w:eastAsia="en-US"/>
        </w:rPr>
        <w:t xml:space="preserve">I cut site in CincRyR, (C) FastDigest </w:t>
      </w:r>
      <w:r w:rsidRPr="002B3276">
        <w:rPr>
          <w:rFonts w:ascii="Times New Roman" w:eastAsia="Calibri" w:hAnsi="Times New Roman" w:cs="Times New Roman"/>
          <w:i/>
          <w:iCs/>
          <w:lang w:eastAsia="en-US"/>
        </w:rPr>
        <w:t>Tai</w:t>
      </w:r>
      <w:r w:rsidRPr="002B3276">
        <w:rPr>
          <w:rFonts w:ascii="Times New Roman" w:eastAsia="Calibri" w:hAnsi="Times New Roman" w:cs="Times New Roman"/>
          <w:lang w:eastAsia="en-US"/>
        </w:rPr>
        <w:t>I</w:t>
      </w:r>
      <w:r w:rsidRPr="002B3276">
        <w:rPr>
          <w:rFonts w:ascii="Times New Roman" w:eastAsia="Calibri" w:hAnsi="Times New Roman" w:cs="Times New Roman"/>
          <w:i/>
          <w:iCs/>
          <w:lang w:eastAsia="en-US"/>
        </w:rPr>
        <w:t xml:space="preserve"> </w:t>
      </w:r>
      <w:r w:rsidRPr="002B3276">
        <w:rPr>
          <w:rFonts w:ascii="Times New Roman" w:eastAsia="Calibri" w:hAnsi="Times New Roman" w:cs="Times New Roman"/>
          <w:lang w:eastAsia="en-US"/>
        </w:rPr>
        <w:t>restriction enzyme recognition pattern.</w:t>
      </w:r>
    </w:p>
    <w:p w14:paraId="70B3F514" w14:textId="77777777" w:rsidR="002B3276" w:rsidRDefault="002B3276" w:rsidP="00D45E40">
      <w:pPr>
        <w:widowControl w:val="0"/>
        <w:autoSpaceDE w:val="0"/>
        <w:autoSpaceDN w:val="0"/>
        <w:spacing w:after="120" w:line="276" w:lineRule="auto"/>
        <w:rPr>
          <w:rFonts w:ascii="Times New Roman" w:eastAsia="MS Mincho" w:hAnsi="Times New Roman" w:cs="Times New Roman"/>
          <w:bCs/>
          <w:lang w:eastAsia="ja-JP"/>
        </w:rPr>
      </w:pPr>
    </w:p>
    <w:p w14:paraId="74A70552" w14:textId="0921022A" w:rsidR="002B3276" w:rsidRDefault="00C00572" w:rsidP="0087477A">
      <w:pPr>
        <w:widowControl w:val="0"/>
        <w:autoSpaceDE w:val="0"/>
        <w:autoSpaceDN w:val="0"/>
        <w:spacing w:after="120" w:line="276" w:lineRule="auto"/>
        <w:jc w:val="center"/>
        <w:rPr>
          <w:rFonts w:ascii="Times New Roman" w:eastAsia="MS Mincho" w:hAnsi="Times New Roman" w:cs="Times New Roman"/>
          <w:bCs/>
          <w:lang w:eastAsia="ja-JP"/>
        </w:rPr>
      </w:pPr>
      <w:r w:rsidRPr="00C00572">
        <w:rPr>
          <w:rFonts w:ascii="Times New Roman" w:eastAsia="MS Mincho" w:hAnsi="Times New Roman" w:cs="Times New Roman"/>
          <w:bCs/>
          <w:noProof/>
          <w:lang w:eastAsia="ja-JP"/>
        </w:rPr>
        <w:drawing>
          <wp:inline distT="0" distB="0" distL="0" distR="0" wp14:anchorId="525CC878" wp14:editId="382CB1E5">
            <wp:extent cx="3427171" cy="3789721"/>
            <wp:effectExtent l="0" t="0" r="1905" b="1270"/>
            <wp:docPr id="1281479054" name="Picture 1" descr="Upon detecting a heterozygote mutant in the WT soybean looper population, four field populations were screened with a TaiI restriction enzyme-based method for the frequency of the mutation. No homozygote mutant was detected in those field populations (TN, LA, MS1, and MS2); however, it was recorded that heterozygote mutants were present at different frequency levels in the regional soybean looper populations. For the TN population, frequencies of homozygote resistant, homozygote susceptible, and heterozygote mutants were 5%, 60%, and 35%. Next, for the LA population, frequencies of homozygote resistant, homozygote susceptible, and heterozygote mutants were 0.3%, 90%, and 0.97%. Also, for the MS1 population, frequencies of homozygote resistant, homozygote susceptible, and heterozygote mutants were 8.6%, 50%, and 41.4%. Lastly, for the MS2 population, frequencies of homozygote resistant, homozygote susceptible, and heterozygote mutants were 3%, 70%, and 27% ">
              <a:extLst xmlns:a="http://schemas.openxmlformats.org/drawingml/2006/main">
                <a:ext uri="{FF2B5EF4-FFF2-40B4-BE49-F238E27FC236}">
                  <a16:creationId xmlns:a16="http://schemas.microsoft.com/office/drawing/2014/main" id="{6454E5C0-7194-576E-DBFB-0466C04A0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pon detecting a heterozygote mutant in the WT soybean looper population, four field populations were screened with a TaiI restriction enzyme-based method for the frequency of the mutation. No homozygote mutant was detected in those field populations (TN, LA, MS1, and MS2); however, it was recorded that heterozygote mutants were present at different frequency levels in the regional soybean looper populations. For the TN population, frequencies of homozygote resistant, homozygote susceptible, and heterozygote mutants were 5%, 60%, and 35%. Next, for the LA population, frequencies of homozygote resistant, homozygote susceptible, and heterozygote mutants were 0.3%, 90%, and 0.97%. Also, for the MS1 population, frequencies of homozygote resistant, homozygote susceptible, and heterozygote mutants were 8.6%, 50%, and 41.4%. Lastly, for the MS2 population, frequencies of homozygote resistant, homozygote susceptible, and heterozygote mutants were 3%, 70%, and 27% ">
                      <a:extLst>
                        <a:ext uri="{FF2B5EF4-FFF2-40B4-BE49-F238E27FC236}">
                          <a16:creationId xmlns:a16="http://schemas.microsoft.com/office/drawing/2014/main" id="{6454E5C0-7194-576E-DBFB-0466C04A07EE}"/>
                        </a:ext>
                      </a:extLst>
                    </pic:cNvPr>
                    <pic:cNvPicPr>
                      <a:picLocks noChangeAspect="1"/>
                    </pic:cNvPicPr>
                  </pic:nvPicPr>
                  <pic:blipFill>
                    <a:blip r:embed="rId15"/>
                    <a:stretch>
                      <a:fillRect/>
                    </a:stretch>
                  </pic:blipFill>
                  <pic:spPr>
                    <a:xfrm>
                      <a:off x="0" y="0"/>
                      <a:ext cx="3429542" cy="3792343"/>
                    </a:xfrm>
                    <a:prstGeom prst="rect">
                      <a:avLst/>
                    </a:prstGeom>
                  </pic:spPr>
                </pic:pic>
              </a:graphicData>
            </a:graphic>
          </wp:inline>
        </w:drawing>
      </w:r>
    </w:p>
    <w:p w14:paraId="523AD468" w14:textId="1DE0B8B1" w:rsidR="002B3276" w:rsidRDefault="00C00572" w:rsidP="00C00572">
      <w:pPr>
        <w:widowControl w:val="0"/>
        <w:autoSpaceDE w:val="0"/>
        <w:autoSpaceDN w:val="0"/>
        <w:spacing w:after="120" w:line="276" w:lineRule="auto"/>
        <w:rPr>
          <w:rFonts w:ascii="Times New Roman" w:eastAsia="MS Mincho" w:hAnsi="Times New Roman" w:cs="Times New Roman"/>
          <w:bCs/>
          <w:lang w:eastAsia="ja-JP"/>
        </w:rPr>
      </w:pPr>
      <w:r w:rsidRPr="000E68FD">
        <w:rPr>
          <w:rFonts w:ascii="Times New Roman" w:eastAsia="MS Mincho" w:hAnsi="Times New Roman" w:cs="Times New Roman"/>
          <w:b/>
          <w:lang w:eastAsia="ja-JP"/>
        </w:rPr>
        <w:t>Figure 4.</w:t>
      </w:r>
      <w:r>
        <w:rPr>
          <w:rFonts w:ascii="Times New Roman" w:eastAsia="MS Mincho" w:hAnsi="Times New Roman" w:cs="Times New Roman"/>
          <w:bCs/>
          <w:lang w:eastAsia="ja-JP"/>
        </w:rPr>
        <w:t xml:space="preserve"> </w:t>
      </w:r>
      <w:r w:rsidRPr="00C00572">
        <w:rPr>
          <w:rFonts w:ascii="Times New Roman" w:eastAsia="MS Mincho" w:hAnsi="Times New Roman" w:cs="Times New Roman"/>
          <w:bCs/>
          <w:lang w:eastAsia="ja-JP"/>
        </w:rPr>
        <w:t xml:space="preserve">Y4667C mutation screening results of four field populations via </w:t>
      </w:r>
      <w:r w:rsidRPr="00512FEB">
        <w:rPr>
          <w:rFonts w:ascii="Times New Roman" w:eastAsia="MS Mincho" w:hAnsi="Times New Roman" w:cs="Times New Roman"/>
          <w:bCs/>
          <w:i/>
          <w:iCs/>
          <w:lang w:eastAsia="ja-JP"/>
        </w:rPr>
        <w:t>Tai</w:t>
      </w:r>
      <w:r w:rsidRPr="00C00572">
        <w:rPr>
          <w:rFonts w:ascii="Times New Roman" w:eastAsia="MS Mincho" w:hAnsi="Times New Roman" w:cs="Times New Roman"/>
          <w:bCs/>
          <w:lang w:eastAsia="ja-JP"/>
        </w:rPr>
        <w:t>I restriction digestion.</w:t>
      </w:r>
      <w:r w:rsidR="00664AB6">
        <w:rPr>
          <w:rFonts w:ascii="Times New Roman" w:eastAsia="MS Mincho" w:hAnsi="Times New Roman" w:cs="Times New Roman"/>
          <w:bCs/>
          <w:lang w:eastAsia="ja-JP"/>
        </w:rPr>
        <w:t xml:space="preserve"> </w:t>
      </w:r>
      <w:r w:rsidRPr="00C00572">
        <w:rPr>
          <w:rFonts w:ascii="Times New Roman" w:eastAsia="MS Mincho" w:hAnsi="Times New Roman" w:cs="Times New Roman"/>
          <w:bCs/>
          <w:lang w:eastAsia="ja-JP"/>
        </w:rPr>
        <w:t>(A) A gel picture showing the results of the TaiI restriction digestion on 4% agarose gel. (B) Summary of the screening. Note: Samples in red are undigested PCR products used as a control to evaluate the efficacy of the digestion.</w:t>
      </w:r>
    </w:p>
    <w:p w14:paraId="5DC13305" w14:textId="77777777" w:rsidR="0087477A" w:rsidRDefault="0087477A" w:rsidP="0087477A">
      <w:pPr>
        <w:spacing w:after="120" w:line="276" w:lineRule="auto"/>
        <w:jc w:val="center"/>
        <w:rPr>
          <w:rFonts w:ascii="Times New Roman" w:hAnsi="Times New Roman" w:cs="Times New Roman"/>
        </w:rPr>
      </w:pPr>
      <w:r w:rsidRPr="007D003E">
        <w:rPr>
          <w:rFonts w:ascii="Times New Roman" w:hAnsi="Times New Roman" w:cs="Times New Roman"/>
          <w:noProof/>
        </w:rPr>
        <w:lastRenderedPageBreak/>
        <w:drawing>
          <wp:inline distT="0" distB="0" distL="0" distR="0" wp14:anchorId="40BA17FA" wp14:editId="3E36BB18">
            <wp:extent cx="3253978" cy="2354180"/>
            <wp:effectExtent l="0" t="0" r="3810" b="8255"/>
            <wp:docPr id="2" name="Picture 1" descr="A graph of different levels of detox&#10;&#10;AI-generated content may be incorrect.">
              <a:extLst xmlns:a="http://schemas.openxmlformats.org/drawingml/2006/main">
                <a:ext uri="{FF2B5EF4-FFF2-40B4-BE49-F238E27FC236}">
                  <a16:creationId xmlns:a16="http://schemas.microsoft.com/office/drawing/2014/main" id="{2322AF1D-69C2-D0EF-8F72-452430F6F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different levels of detox&#10;&#10;AI-generated content may be incorrect.">
                      <a:extLst>
                        <a:ext uri="{FF2B5EF4-FFF2-40B4-BE49-F238E27FC236}">
                          <a16:creationId xmlns:a16="http://schemas.microsoft.com/office/drawing/2014/main" id="{2322AF1D-69C2-D0EF-8F72-452430F6F44D}"/>
                        </a:ext>
                      </a:extLst>
                    </pic:cNvPr>
                    <pic:cNvPicPr>
                      <a:picLocks noChangeAspect="1"/>
                    </pic:cNvPicPr>
                  </pic:nvPicPr>
                  <pic:blipFill rotWithShape="1">
                    <a:blip r:embed="rId16"/>
                    <a:srcRect l="3326" t="1721" r="3842" b="10981"/>
                    <a:stretch/>
                  </pic:blipFill>
                  <pic:spPr>
                    <a:xfrm>
                      <a:off x="0" y="0"/>
                      <a:ext cx="3253978" cy="2354180"/>
                    </a:xfrm>
                    <a:prstGeom prst="rect">
                      <a:avLst/>
                    </a:prstGeom>
                    <a:ln>
                      <a:noFill/>
                    </a:ln>
                  </pic:spPr>
                </pic:pic>
              </a:graphicData>
            </a:graphic>
          </wp:inline>
        </w:drawing>
      </w:r>
    </w:p>
    <w:p w14:paraId="57CF248D" w14:textId="4BEBF3EF" w:rsidR="0087477A" w:rsidRDefault="0087477A" w:rsidP="0087477A">
      <w:pPr>
        <w:spacing w:after="120" w:line="276" w:lineRule="auto"/>
        <w:rPr>
          <w:rFonts w:ascii="Times New Roman" w:hAnsi="Times New Roman" w:cs="Times New Roman"/>
        </w:rPr>
      </w:pPr>
      <w:r w:rsidRPr="00231AE4">
        <w:rPr>
          <w:rFonts w:ascii="Times New Roman" w:hAnsi="Times New Roman" w:cs="Times New Roman"/>
          <w:b/>
          <w:bCs/>
        </w:rPr>
        <w:t xml:space="preserve">Figure </w:t>
      </w:r>
      <w:r>
        <w:rPr>
          <w:rFonts w:ascii="Times New Roman" w:hAnsi="Times New Roman" w:cs="Times New Roman"/>
          <w:b/>
          <w:bCs/>
        </w:rPr>
        <w:t>5</w:t>
      </w:r>
      <w:r w:rsidRPr="00231AE4">
        <w:rPr>
          <w:rFonts w:ascii="Times New Roman" w:hAnsi="Times New Roman" w:cs="Times New Roman"/>
          <w:b/>
          <w:bCs/>
        </w:rPr>
        <w:t>.</w:t>
      </w:r>
      <w:r w:rsidRPr="00231AE4">
        <w:rPr>
          <w:rFonts w:ascii="Times New Roman" w:hAnsi="Times New Roman" w:cs="Times New Roman"/>
        </w:rPr>
        <w:t xml:space="preserve"> </w:t>
      </w:r>
      <w:r w:rsidRPr="007D003E">
        <w:rPr>
          <w:rFonts w:ascii="Times New Roman" w:hAnsi="Times New Roman" w:cs="Times New Roman"/>
        </w:rPr>
        <w:t>Gene counts of five detoxification gene families, which exhibited differential expressions in soybean looper.</w:t>
      </w:r>
    </w:p>
    <w:p w14:paraId="3A4EA052" w14:textId="77777777" w:rsidR="00730097" w:rsidRDefault="00730097" w:rsidP="00D45E40">
      <w:pPr>
        <w:widowControl w:val="0"/>
        <w:autoSpaceDE w:val="0"/>
        <w:autoSpaceDN w:val="0"/>
        <w:spacing w:after="120" w:line="276" w:lineRule="auto"/>
        <w:rPr>
          <w:rFonts w:ascii="Times New Roman" w:eastAsia="MS Mincho" w:hAnsi="Times New Roman" w:cs="Times New Roman"/>
          <w:bCs/>
          <w:lang w:eastAsia="ja-JP"/>
        </w:rPr>
      </w:pPr>
    </w:p>
    <w:p w14:paraId="621DAB9E" w14:textId="77777777" w:rsidR="00730097" w:rsidRDefault="00730097" w:rsidP="00D45E40">
      <w:pPr>
        <w:widowControl w:val="0"/>
        <w:autoSpaceDE w:val="0"/>
        <w:autoSpaceDN w:val="0"/>
        <w:spacing w:after="120" w:line="276" w:lineRule="auto"/>
        <w:rPr>
          <w:rFonts w:ascii="Times New Roman" w:eastAsia="MS Mincho" w:hAnsi="Times New Roman" w:cs="Times New Roman"/>
          <w:bCs/>
          <w:lang w:eastAsia="ja-JP"/>
        </w:rPr>
      </w:pPr>
    </w:p>
    <w:p w14:paraId="691D41C3" w14:textId="77777777" w:rsidR="00730097" w:rsidRDefault="00730097" w:rsidP="00D45E40">
      <w:pPr>
        <w:widowControl w:val="0"/>
        <w:autoSpaceDE w:val="0"/>
        <w:autoSpaceDN w:val="0"/>
        <w:spacing w:after="120" w:line="276" w:lineRule="auto"/>
        <w:rPr>
          <w:rFonts w:ascii="Times New Roman" w:eastAsia="MS Mincho" w:hAnsi="Times New Roman" w:cs="Times New Roman"/>
          <w:bCs/>
          <w:lang w:eastAsia="ja-JP"/>
        </w:rPr>
      </w:pPr>
    </w:p>
    <w:p w14:paraId="599D2609" w14:textId="77777777" w:rsidR="00730097" w:rsidRDefault="00730097" w:rsidP="00D45E40">
      <w:pPr>
        <w:widowControl w:val="0"/>
        <w:autoSpaceDE w:val="0"/>
        <w:autoSpaceDN w:val="0"/>
        <w:spacing w:after="120" w:line="276" w:lineRule="auto"/>
        <w:rPr>
          <w:rFonts w:ascii="Times New Roman" w:eastAsia="MS Mincho" w:hAnsi="Times New Roman" w:cs="Times New Roman"/>
          <w:bCs/>
          <w:lang w:eastAsia="ja-JP"/>
        </w:rPr>
      </w:pPr>
    </w:p>
    <w:p w14:paraId="0954D41A" w14:textId="77777777" w:rsidR="00B812AB" w:rsidRPr="00CE2F24" w:rsidRDefault="00B812AB" w:rsidP="00D45E40">
      <w:pPr>
        <w:widowControl w:val="0"/>
        <w:spacing w:after="120" w:line="276" w:lineRule="auto"/>
        <w:contextualSpacing/>
        <w:jc w:val="center"/>
        <w:rPr>
          <w:rFonts w:ascii="Times New Roman" w:eastAsia="MS Mincho" w:hAnsi="Times New Roman" w:cs="Times New Roman"/>
          <w:lang w:eastAsia="ja-JP"/>
        </w:rPr>
      </w:pPr>
    </w:p>
    <w:p w14:paraId="1659AFCE" w14:textId="77777777" w:rsidR="00B812AB" w:rsidRPr="00CE2F24" w:rsidRDefault="00B812AB" w:rsidP="00D45E40">
      <w:pPr>
        <w:widowControl w:val="0"/>
        <w:spacing w:after="120" w:line="276" w:lineRule="auto"/>
        <w:contextualSpacing/>
        <w:jc w:val="center"/>
        <w:rPr>
          <w:rFonts w:ascii="Times New Roman" w:eastAsia="MS Mincho" w:hAnsi="Times New Roman" w:cs="Times New Roman"/>
          <w:lang w:eastAsia="ja-JP"/>
        </w:rPr>
      </w:pPr>
    </w:p>
    <w:p w14:paraId="09BA3AD2" w14:textId="07BAF791" w:rsidR="00B812AB" w:rsidRPr="00CE2F24" w:rsidRDefault="006B4EF9" w:rsidP="00D45E40">
      <w:pPr>
        <w:widowControl w:val="0"/>
        <w:spacing w:after="120" w:line="276" w:lineRule="auto"/>
        <w:contextualSpacing/>
        <w:jc w:val="center"/>
        <w:rPr>
          <w:rFonts w:ascii="Times New Roman" w:eastAsia="MS Mincho" w:hAnsi="Times New Roman" w:cs="Times New Roman"/>
          <w:lang w:eastAsia="ja-JP"/>
        </w:rPr>
      </w:pPr>
      <w:r w:rsidRPr="006B4EF9">
        <w:rPr>
          <w:rFonts w:ascii="Times New Roman" w:eastAsia="MS Mincho" w:hAnsi="Times New Roman" w:cs="Times New Roman"/>
          <w:noProof/>
          <w:lang w:eastAsia="ja-JP"/>
        </w:rPr>
        <w:drawing>
          <wp:inline distT="0" distB="0" distL="0" distR="0" wp14:anchorId="2AB81E70" wp14:editId="74748155">
            <wp:extent cx="5486400" cy="3117215"/>
            <wp:effectExtent l="0" t="0" r="0" b="6985"/>
            <wp:docPr id="1482990510" name="Picture 1" descr="DEG analysis showed that there were more upregulated unigenes than downregulated. ">
              <a:extLst xmlns:a="http://schemas.openxmlformats.org/drawingml/2006/main">
                <a:ext uri="{FF2B5EF4-FFF2-40B4-BE49-F238E27FC236}">
                  <a16:creationId xmlns:a16="http://schemas.microsoft.com/office/drawing/2014/main" id="{57BBF3E2-A6B3-FCD6-33E6-1D63B9CBF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G analysis showed that there were more upregulated unigenes than downregulated. ">
                      <a:extLst>
                        <a:ext uri="{FF2B5EF4-FFF2-40B4-BE49-F238E27FC236}">
                          <a16:creationId xmlns:a16="http://schemas.microsoft.com/office/drawing/2014/main" id="{57BBF3E2-A6B3-FCD6-33E6-1D63B9CBFFD8}"/>
                        </a:ext>
                      </a:extLst>
                    </pic:cNvPr>
                    <pic:cNvPicPr>
                      <a:picLocks noChangeAspect="1"/>
                    </pic:cNvPicPr>
                  </pic:nvPicPr>
                  <pic:blipFill>
                    <a:blip r:embed="rId17"/>
                    <a:stretch>
                      <a:fillRect/>
                    </a:stretch>
                  </pic:blipFill>
                  <pic:spPr>
                    <a:xfrm>
                      <a:off x="0" y="0"/>
                      <a:ext cx="5486400" cy="3117215"/>
                    </a:xfrm>
                    <a:prstGeom prst="rect">
                      <a:avLst/>
                    </a:prstGeom>
                  </pic:spPr>
                </pic:pic>
              </a:graphicData>
            </a:graphic>
          </wp:inline>
        </w:drawing>
      </w:r>
    </w:p>
    <w:p w14:paraId="105EF944" w14:textId="4E79F24B" w:rsidR="00860E58" w:rsidRPr="00CE2F24" w:rsidRDefault="006B4EF9" w:rsidP="00D45E40">
      <w:pPr>
        <w:widowControl w:val="0"/>
        <w:autoSpaceDE w:val="0"/>
        <w:autoSpaceDN w:val="0"/>
        <w:spacing w:after="120" w:line="276" w:lineRule="auto"/>
        <w:rPr>
          <w:rFonts w:ascii="Times New Roman" w:eastAsia="MS Mincho" w:hAnsi="Times New Roman" w:cs="Times New Roman"/>
          <w:lang w:eastAsia="ja-JP"/>
        </w:rPr>
      </w:pPr>
      <w:r w:rsidRPr="003E657E">
        <w:rPr>
          <w:rFonts w:ascii="Times New Roman" w:eastAsia="MS Mincho" w:hAnsi="Times New Roman" w:cs="Times New Roman"/>
          <w:b/>
          <w:bCs/>
          <w:lang w:eastAsia="ja-JP"/>
        </w:rPr>
        <w:t xml:space="preserve">Figure </w:t>
      </w:r>
      <w:r w:rsidR="0087477A">
        <w:rPr>
          <w:rFonts w:ascii="Times New Roman" w:eastAsia="MS Mincho" w:hAnsi="Times New Roman" w:cs="Times New Roman"/>
          <w:b/>
          <w:bCs/>
          <w:lang w:eastAsia="ja-JP"/>
        </w:rPr>
        <w:t>6</w:t>
      </w:r>
      <w:r w:rsidRPr="003E657E">
        <w:rPr>
          <w:rFonts w:ascii="Times New Roman" w:eastAsia="MS Mincho" w:hAnsi="Times New Roman" w:cs="Times New Roman"/>
          <w:b/>
          <w:bCs/>
          <w:lang w:eastAsia="ja-JP"/>
        </w:rPr>
        <w:t>.</w:t>
      </w:r>
      <w:r>
        <w:rPr>
          <w:rFonts w:ascii="Times New Roman" w:eastAsia="MS Mincho" w:hAnsi="Times New Roman" w:cs="Times New Roman"/>
          <w:lang w:eastAsia="ja-JP"/>
        </w:rPr>
        <w:t xml:space="preserve"> </w:t>
      </w:r>
      <w:r w:rsidRPr="006B4EF9">
        <w:rPr>
          <w:rFonts w:ascii="Times New Roman" w:eastAsia="MS Mincho" w:hAnsi="Times New Roman" w:cs="Times New Roman"/>
          <w:lang w:eastAsia="ja-JP"/>
        </w:rPr>
        <w:t xml:space="preserve">Volcano plot of </w:t>
      </w:r>
      <w:r w:rsidR="00811BCC">
        <w:rPr>
          <w:rFonts w:ascii="Times New Roman" w:eastAsia="MS Mincho" w:hAnsi="Times New Roman" w:cs="Times New Roman"/>
          <w:lang w:eastAsia="ja-JP"/>
        </w:rPr>
        <w:t>differentially-expressed gene</w:t>
      </w:r>
      <w:r w:rsidRPr="006B4EF9">
        <w:rPr>
          <w:rFonts w:ascii="Times New Roman" w:eastAsia="MS Mincho" w:hAnsi="Times New Roman" w:cs="Times New Roman"/>
          <w:lang w:eastAsia="ja-JP"/>
        </w:rPr>
        <w:t xml:space="preserve"> analysi</w:t>
      </w:r>
      <w:r w:rsidR="00811BCC">
        <w:rPr>
          <w:rFonts w:ascii="Times New Roman" w:eastAsia="MS Mincho" w:hAnsi="Times New Roman" w:cs="Times New Roman"/>
          <w:lang w:eastAsia="ja-JP"/>
        </w:rPr>
        <w:t>s</w:t>
      </w:r>
      <w:r w:rsidRPr="006B4EF9">
        <w:rPr>
          <w:rFonts w:ascii="Times New Roman" w:eastAsia="MS Mincho" w:hAnsi="Times New Roman" w:cs="Times New Roman"/>
          <w:lang w:eastAsia="ja-JP"/>
        </w:rPr>
        <w:t>.</w:t>
      </w:r>
      <w:r w:rsidR="003E657E">
        <w:rPr>
          <w:rFonts w:ascii="Times New Roman" w:eastAsia="MS Mincho" w:hAnsi="Times New Roman" w:cs="Times New Roman"/>
          <w:lang w:eastAsia="ja-JP"/>
        </w:rPr>
        <w:t xml:space="preserve"> </w:t>
      </w:r>
      <w:r w:rsidR="00811BCC" w:rsidRPr="00811BCC">
        <w:rPr>
          <w:rFonts w:ascii="Times New Roman" w:eastAsia="MS Mincho" w:hAnsi="Times New Roman" w:cs="Times New Roman"/>
          <w:lang w:eastAsia="ja-JP"/>
        </w:rPr>
        <w:t xml:space="preserve">A sublethal chlorantraniliprole exposure (0.1 ppm for 48 hours) revealed that 2.5 times more genes were activated in the PR strain than in the susceptible strain. </w:t>
      </w:r>
    </w:p>
    <w:p w14:paraId="7B462E5F" w14:textId="487A9DE4" w:rsidR="00231AE4" w:rsidRDefault="00595E30" w:rsidP="00E828D8">
      <w:pPr>
        <w:spacing w:after="120" w:line="276" w:lineRule="auto"/>
        <w:jc w:val="center"/>
        <w:rPr>
          <w:rFonts w:ascii="Times New Roman" w:hAnsi="Times New Roman" w:cs="Times New Roman"/>
        </w:rPr>
      </w:pPr>
      <w:r w:rsidRPr="00595E30">
        <w:rPr>
          <w:rFonts w:ascii="Times New Roman" w:hAnsi="Times New Roman" w:cs="Times New Roman"/>
          <w:noProof/>
        </w:rPr>
        <w:lastRenderedPageBreak/>
        <w:drawing>
          <wp:inline distT="0" distB="0" distL="0" distR="0" wp14:anchorId="23082186" wp14:editId="11B4D0B4">
            <wp:extent cx="3708199" cy="2505761"/>
            <wp:effectExtent l="0" t="0" r="6985" b="8890"/>
            <wp:docPr id="4" name="Picture 3" descr="A graph of a gene expression&#10;&#10;AI-generated content may be incorrect.">
              <a:extLst xmlns:a="http://schemas.openxmlformats.org/drawingml/2006/main">
                <a:ext uri="{FF2B5EF4-FFF2-40B4-BE49-F238E27FC236}">
                  <a16:creationId xmlns:a16="http://schemas.microsoft.com/office/drawing/2014/main" id="{0B584363-EE19-7DA5-E9A4-75490E73C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gene expression&#10;&#10;AI-generated content may be incorrect.">
                      <a:extLst>
                        <a:ext uri="{FF2B5EF4-FFF2-40B4-BE49-F238E27FC236}">
                          <a16:creationId xmlns:a16="http://schemas.microsoft.com/office/drawing/2014/main" id="{0B584363-EE19-7DA5-E9A4-75490E73CC79}"/>
                        </a:ext>
                      </a:extLst>
                    </pic:cNvPr>
                    <pic:cNvPicPr>
                      <a:picLocks noChangeAspect="1"/>
                    </pic:cNvPicPr>
                  </pic:nvPicPr>
                  <pic:blipFill rotWithShape="1">
                    <a:blip r:embed="rId18"/>
                    <a:srcRect l="5081" t="14895" r="9056" b="19142"/>
                    <a:stretch/>
                  </pic:blipFill>
                  <pic:spPr>
                    <a:xfrm>
                      <a:off x="0" y="0"/>
                      <a:ext cx="3708199" cy="2505761"/>
                    </a:xfrm>
                    <a:prstGeom prst="rect">
                      <a:avLst/>
                    </a:prstGeom>
                  </pic:spPr>
                </pic:pic>
              </a:graphicData>
            </a:graphic>
          </wp:inline>
        </w:drawing>
      </w:r>
    </w:p>
    <w:p w14:paraId="69FCB41F" w14:textId="7C13C58A" w:rsidR="00231AE4" w:rsidRDefault="00595E30" w:rsidP="00D45E40">
      <w:pPr>
        <w:spacing w:after="120" w:line="276" w:lineRule="auto"/>
        <w:rPr>
          <w:rFonts w:ascii="Times New Roman" w:hAnsi="Times New Roman" w:cs="Times New Roman"/>
        </w:rPr>
      </w:pPr>
      <w:r w:rsidRPr="00E828D8">
        <w:rPr>
          <w:rFonts w:ascii="Times New Roman" w:hAnsi="Times New Roman" w:cs="Times New Roman"/>
          <w:b/>
          <w:bCs/>
        </w:rPr>
        <w:t>Figure 7.</w:t>
      </w:r>
      <w:r>
        <w:rPr>
          <w:rFonts w:ascii="Times New Roman" w:hAnsi="Times New Roman" w:cs="Times New Roman"/>
        </w:rPr>
        <w:t xml:space="preserve"> </w:t>
      </w:r>
      <w:r w:rsidRPr="00595E30">
        <w:rPr>
          <w:rFonts w:ascii="Times New Roman" w:hAnsi="Times New Roman" w:cs="Times New Roman"/>
        </w:rPr>
        <w:t>Expression levels of CYP genes measured by qRT-PCR. CYP11051 showed significant difference between wild type and PR strains.</w:t>
      </w:r>
    </w:p>
    <w:p w14:paraId="23A0886A" w14:textId="77777777" w:rsidR="00231AE4" w:rsidRDefault="00231AE4" w:rsidP="00D45E40">
      <w:pPr>
        <w:spacing w:after="120" w:line="276" w:lineRule="auto"/>
        <w:rPr>
          <w:rFonts w:ascii="Times New Roman" w:hAnsi="Times New Roman" w:cs="Times New Roman"/>
        </w:rPr>
      </w:pPr>
    </w:p>
    <w:p w14:paraId="28A6D867" w14:textId="77777777" w:rsidR="00231AE4" w:rsidRDefault="00231AE4" w:rsidP="00D45E40">
      <w:pPr>
        <w:spacing w:after="120" w:line="276" w:lineRule="auto"/>
        <w:rPr>
          <w:rFonts w:ascii="Times New Roman" w:hAnsi="Times New Roman" w:cs="Times New Roman"/>
        </w:rPr>
      </w:pPr>
    </w:p>
    <w:p w14:paraId="1BBC7B80" w14:textId="77777777" w:rsidR="00C177E8" w:rsidRPr="00CE2F24" w:rsidRDefault="00C177E8" w:rsidP="00D45E40">
      <w:pPr>
        <w:spacing w:after="120" w:line="276" w:lineRule="auto"/>
        <w:jc w:val="center"/>
        <w:rPr>
          <w:rFonts w:ascii="Times New Roman" w:hAnsi="Times New Roman" w:cs="Times New Roman"/>
        </w:rPr>
      </w:pPr>
      <w:r w:rsidRPr="00CE2F24">
        <w:rPr>
          <w:noProof/>
        </w:rPr>
        <w:drawing>
          <wp:inline distT="0" distB="0" distL="0" distR="0" wp14:anchorId="67BAB7B0" wp14:editId="0125CF61">
            <wp:extent cx="2933881" cy="3717817"/>
            <wp:effectExtent l="0" t="0" r="0" b="0"/>
            <wp:docPr id="619896116" name="Picture 1" descr="A collage of different colored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96116" name="Picture 1" descr="A collage of different colored eyes&#10;&#10;Description automatically generated"/>
                    <pic:cNvPicPr/>
                  </pic:nvPicPr>
                  <pic:blipFill>
                    <a:blip r:embed="rId19"/>
                    <a:stretch>
                      <a:fillRect/>
                    </a:stretch>
                  </pic:blipFill>
                  <pic:spPr>
                    <a:xfrm>
                      <a:off x="0" y="0"/>
                      <a:ext cx="2941230" cy="3727129"/>
                    </a:xfrm>
                    <a:prstGeom prst="rect">
                      <a:avLst/>
                    </a:prstGeom>
                  </pic:spPr>
                </pic:pic>
              </a:graphicData>
            </a:graphic>
          </wp:inline>
        </w:drawing>
      </w:r>
    </w:p>
    <w:p w14:paraId="28DAA50F" w14:textId="77777777" w:rsidR="00C177E8" w:rsidRPr="00CE2F24" w:rsidRDefault="00C177E8" w:rsidP="00D45E40">
      <w:pPr>
        <w:spacing w:after="120" w:line="276" w:lineRule="auto"/>
        <w:rPr>
          <w:rFonts w:ascii="Times New Roman" w:hAnsi="Times New Roman" w:cs="Times New Roman"/>
        </w:rPr>
      </w:pPr>
    </w:p>
    <w:p w14:paraId="66FAF5D5" w14:textId="2720F5F7" w:rsidR="00C177E8" w:rsidRPr="00CE2F24" w:rsidRDefault="00C177E8" w:rsidP="00D45E40">
      <w:pPr>
        <w:spacing w:after="120" w:line="276" w:lineRule="auto"/>
        <w:rPr>
          <w:rFonts w:ascii="Times New Roman" w:hAnsi="Times New Roman" w:cs="Times New Roman"/>
        </w:rPr>
      </w:pPr>
      <w:r w:rsidRPr="00CE2F24">
        <w:rPr>
          <w:rFonts w:ascii="Times New Roman" w:hAnsi="Times New Roman" w:cs="Times New Roman"/>
          <w:b/>
          <w:bCs/>
        </w:rPr>
        <w:t xml:space="preserve">Figure </w:t>
      </w:r>
      <w:r w:rsidR="006D6A29">
        <w:rPr>
          <w:rFonts w:ascii="Times New Roman" w:hAnsi="Times New Roman" w:cs="Times New Roman"/>
          <w:b/>
          <w:bCs/>
        </w:rPr>
        <w:t>8</w:t>
      </w:r>
      <w:r w:rsidRPr="00CE2F24">
        <w:rPr>
          <w:rFonts w:ascii="Times New Roman" w:hAnsi="Times New Roman" w:cs="Times New Roman"/>
          <w:b/>
          <w:bCs/>
        </w:rPr>
        <w:t xml:space="preserve">. </w:t>
      </w:r>
      <w:r w:rsidRPr="00CE2F24">
        <w:rPr>
          <w:rFonts w:ascii="Times New Roman" w:hAnsi="Times New Roman" w:cs="Times New Roman"/>
        </w:rPr>
        <w:t xml:space="preserve">Eye color mutants identified in the G0 moths following CRISPR/Cas9‐mediated mutagenesis of </w:t>
      </w:r>
      <w:r w:rsidRPr="00CE2F24">
        <w:rPr>
          <w:rFonts w:ascii="Times New Roman" w:hAnsi="Times New Roman" w:cs="Times New Roman"/>
          <w:i/>
          <w:iCs/>
        </w:rPr>
        <w:t>scarlet</w:t>
      </w:r>
      <w:r w:rsidRPr="00CE2F24">
        <w:rPr>
          <w:rFonts w:ascii="Times New Roman" w:hAnsi="Times New Roman" w:cs="Times New Roman"/>
        </w:rPr>
        <w:t xml:space="preserve"> in </w:t>
      </w:r>
      <w:r w:rsidRPr="00CE2F24">
        <w:rPr>
          <w:rFonts w:ascii="Times New Roman" w:hAnsi="Times New Roman" w:cs="Times New Roman"/>
          <w:i/>
          <w:iCs/>
        </w:rPr>
        <w:t>Chrysodeixis includens</w:t>
      </w:r>
      <w:r w:rsidRPr="00CE2F24">
        <w:rPr>
          <w:rFonts w:ascii="Times New Roman" w:hAnsi="Times New Roman" w:cs="Times New Roman"/>
        </w:rPr>
        <w:t>. (a) Representative image of a wild type (WT) moth with the normal eye color. (b) Nine putative mutants exhibiting distinct eye colors when compared with WT.</w:t>
      </w:r>
    </w:p>
    <w:p w14:paraId="4D5895CA" w14:textId="77777777" w:rsidR="00EE5B69" w:rsidRDefault="00EE5B69" w:rsidP="001926E1">
      <w:pPr>
        <w:spacing w:beforeLines="100" w:before="240" w:afterLines="100" w:after="240" w:line="240" w:lineRule="auto"/>
        <w:rPr>
          <w:rFonts w:ascii="Times New Roman" w:eastAsia="MS Mincho" w:hAnsi="Times New Roman" w:cs="Times New Roman"/>
          <w:b/>
          <w:lang w:eastAsia="ja-JP"/>
        </w:rPr>
      </w:pPr>
      <w:bookmarkStart w:id="1" w:name="_Toc181303018"/>
    </w:p>
    <w:p w14:paraId="03F5F3F3" w14:textId="25E495EE" w:rsidR="001926E1" w:rsidRPr="003D2C9E" w:rsidRDefault="001926E1" w:rsidP="001926E1">
      <w:pPr>
        <w:spacing w:beforeLines="100" w:before="240" w:afterLines="100" w:after="240" w:line="240" w:lineRule="auto"/>
        <w:rPr>
          <w:rFonts w:ascii="Times New Roman" w:eastAsia="Calibri" w:hAnsi="Times New Roman" w:cs="Times New Roman"/>
          <w:lang w:eastAsia="en-US"/>
        </w:rPr>
      </w:pPr>
      <w:r w:rsidRPr="003D2C9E">
        <w:rPr>
          <w:rFonts w:ascii="Times New Roman" w:eastAsia="MS Mincho" w:hAnsi="Times New Roman" w:cs="Times New Roman"/>
          <w:b/>
          <w:lang w:eastAsia="ja-JP"/>
        </w:rPr>
        <w:t>Table 1.</w:t>
      </w:r>
      <w:r w:rsidRPr="003D2C9E">
        <w:rPr>
          <w:rFonts w:ascii="Times New Roman" w:eastAsia="MS Mincho" w:hAnsi="Times New Roman" w:cs="Times New Roman"/>
          <w:bCs/>
          <w:lang w:eastAsia="ja-JP"/>
        </w:rPr>
        <w:t xml:space="preserve"> </w:t>
      </w:r>
      <w:r w:rsidRPr="003D2C9E">
        <w:rPr>
          <w:rFonts w:ascii="Times New Roman" w:eastAsia="Calibri" w:hAnsi="Times New Roman" w:cs="Times New Roman"/>
          <w:lang w:eastAsia="en-US"/>
        </w:rPr>
        <w:t xml:space="preserve">Bioassay results of chlorantraniliprole on the lab and Puerto Rico (PR) strains </w:t>
      </w:r>
      <w:bookmarkEnd w:id="1"/>
      <w:r>
        <w:rPr>
          <w:rFonts w:ascii="Times New Roman" w:eastAsia="Calibri" w:hAnsi="Times New Roman" w:cs="Times New Roman"/>
          <w:lang w:eastAsia="en-US"/>
        </w:rPr>
        <w:t>of soybean looper.</w:t>
      </w:r>
      <w:r w:rsidRPr="003D2C9E">
        <w:rPr>
          <w:rFonts w:ascii="Times New Roman" w:eastAsia="Calibri" w:hAnsi="Times New Roman" w:cs="Times New Roman"/>
          <w:lang w:eastAsia="en-US"/>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043"/>
        <w:gridCol w:w="1535"/>
        <w:gridCol w:w="1043"/>
        <w:gridCol w:w="1450"/>
        <w:gridCol w:w="1760"/>
        <w:gridCol w:w="1090"/>
        <w:gridCol w:w="720"/>
      </w:tblGrid>
      <w:tr w:rsidR="001926E1" w:rsidRPr="003D2C9E" w14:paraId="3227E179" w14:textId="77777777" w:rsidTr="004A670D">
        <w:trPr>
          <w:trHeight w:val="524"/>
        </w:trPr>
        <w:tc>
          <w:tcPr>
            <w:tcW w:w="1043" w:type="dxa"/>
            <w:tcBorders>
              <w:top w:val="single" w:sz="8" w:space="0" w:color="auto"/>
              <w:bottom w:val="single" w:sz="8" w:space="0" w:color="auto"/>
            </w:tcBorders>
            <w:noWrap/>
            <w:vAlign w:val="center"/>
          </w:tcPr>
          <w:p w14:paraId="0D9C6967"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Strain</w:t>
            </w:r>
          </w:p>
        </w:tc>
        <w:tc>
          <w:tcPr>
            <w:tcW w:w="1535" w:type="dxa"/>
            <w:tcBorders>
              <w:top w:val="single" w:sz="8" w:space="0" w:color="auto"/>
              <w:bottom w:val="single" w:sz="8" w:space="0" w:color="auto"/>
            </w:tcBorders>
            <w:noWrap/>
            <w:vAlign w:val="center"/>
          </w:tcPr>
          <w:p w14:paraId="448449C4"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Generation</w:t>
            </w:r>
            <w:r w:rsidRPr="003D2C9E">
              <w:rPr>
                <w:rFonts w:ascii="Times New Roman" w:eastAsia="Calibri" w:hAnsi="Times New Roman" w:cs="Times New Roman"/>
                <w:vertAlign w:val="superscript"/>
                <w:lang w:eastAsia="en-US"/>
              </w:rPr>
              <w:t>1</w:t>
            </w:r>
          </w:p>
        </w:tc>
        <w:tc>
          <w:tcPr>
            <w:tcW w:w="1043" w:type="dxa"/>
            <w:tcBorders>
              <w:top w:val="single" w:sz="8" w:space="0" w:color="auto"/>
              <w:bottom w:val="single" w:sz="8" w:space="0" w:color="auto"/>
            </w:tcBorders>
            <w:noWrap/>
            <w:vAlign w:val="center"/>
          </w:tcPr>
          <w:p w14:paraId="220ECAA2"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i/>
                <w:iCs/>
                <w:lang w:eastAsia="en-US"/>
              </w:rPr>
              <w:t>N</w:t>
            </w:r>
            <w:r w:rsidRPr="003D2C9E">
              <w:rPr>
                <w:rFonts w:ascii="Times New Roman" w:eastAsia="Calibri" w:hAnsi="Times New Roman" w:cs="Times New Roman"/>
                <w:vertAlign w:val="superscript"/>
                <w:lang w:eastAsia="en-US"/>
              </w:rPr>
              <w:t>2</w:t>
            </w:r>
          </w:p>
        </w:tc>
        <w:tc>
          <w:tcPr>
            <w:tcW w:w="1450" w:type="dxa"/>
            <w:tcBorders>
              <w:top w:val="single" w:sz="8" w:space="0" w:color="auto"/>
              <w:bottom w:val="single" w:sz="8" w:space="0" w:color="auto"/>
            </w:tcBorders>
            <w:noWrap/>
            <w:vAlign w:val="center"/>
          </w:tcPr>
          <w:p w14:paraId="2C8067F1"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LC</w:t>
            </w:r>
            <w:r w:rsidRPr="003D2C9E">
              <w:rPr>
                <w:rFonts w:ascii="Times New Roman" w:eastAsia="Calibri" w:hAnsi="Times New Roman" w:cs="Times New Roman"/>
                <w:vertAlign w:val="subscript"/>
                <w:lang w:eastAsia="en-US"/>
              </w:rPr>
              <w:t>50</w:t>
            </w:r>
            <w:r w:rsidRPr="003D2C9E">
              <w:rPr>
                <w:rFonts w:ascii="Times New Roman" w:eastAsia="Calibri" w:hAnsi="Times New Roman" w:cs="Times New Roman"/>
                <w:lang w:eastAsia="en-US"/>
              </w:rPr>
              <w:t xml:space="preserve"> (ppm)</w:t>
            </w:r>
          </w:p>
        </w:tc>
        <w:tc>
          <w:tcPr>
            <w:tcW w:w="1760" w:type="dxa"/>
            <w:tcBorders>
              <w:top w:val="single" w:sz="8" w:space="0" w:color="auto"/>
              <w:bottom w:val="single" w:sz="8" w:space="0" w:color="auto"/>
            </w:tcBorders>
            <w:noWrap/>
            <w:vAlign w:val="center"/>
          </w:tcPr>
          <w:p w14:paraId="55206024"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FL 95%</w:t>
            </w:r>
            <w:r w:rsidRPr="003D2C9E">
              <w:rPr>
                <w:rFonts w:ascii="Times New Roman" w:eastAsia="Calibri" w:hAnsi="Times New Roman" w:cs="Times New Roman"/>
                <w:vertAlign w:val="superscript"/>
                <w:lang w:eastAsia="en-US"/>
              </w:rPr>
              <w:t>3</w:t>
            </w:r>
          </w:p>
        </w:tc>
        <w:tc>
          <w:tcPr>
            <w:tcW w:w="1090" w:type="dxa"/>
            <w:tcBorders>
              <w:top w:val="single" w:sz="8" w:space="0" w:color="auto"/>
              <w:bottom w:val="single" w:sz="8" w:space="0" w:color="auto"/>
            </w:tcBorders>
            <w:noWrap/>
            <w:vAlign w:val="center"/>
          </w:tcPr>
          <w:p w14:paraId="56152BE1"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Slope</w:t>
            </w:r>
          </w:p>
        </w:tc>
        <w:tc>
          <w:tcPr>
            <w:tcW w:w="720" w:type="dxa"/>
            <w:tcBorders>
              <w:top w:val="single" w:sz="8" w:space="0" w:color="auto"/>
              <w:bottom w:val="single" w:sz="8" w:space="0" w:color="auto"/>
            </w:tcBorders>
            <w:noWrap/>
            <w:vAlign w:val="center"/>
          </w:tcPr>
          <w:p w14:paraId="054138AC"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RR</w:t>
            </w:r>
            <w:r w:rsidRPr="003D2C9E">
              <w:rPr>
                <w:rFonts w:ascii="Times New Roman" w:eastAsia="Calibri" w:hAnsi="Times New Roman" w:cs="Times New Roman"/>
                <w:vertAlign w:val="superscript"/>
                <w:lang w:eastAsia="en-US"/>
              </w:rPr>
              <w:t>4</w:t>
            </w:r>
          </w:p>
        </w:tc>
      </w:tr>
      <w:tr w:rsidR="001926E1" w:rsidRPr="003D2C9E" w14:paraId="0DE1304A" w14:textId="77777777" w:rsidTr="004A670D">
        <w:trPr>
          <w:trHeight w:val="449"/>
        </w:trPr>
        <w:tc>
          <w:tcPr>
            <w:tcW w:w="1043" w:type="dxa"/>
            <w:tcBorders>
              <w:top w:val="single" w:sz="8" w:space="0" w:color="auto"/>
            </w:tcBorders>
            <w:noWrap/>
            <w:vAlign w:val="center"/>
          </w:tcPr>
          <w:p w14:paraId="3F01A145"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Lab</w:t>
            </w:r>
          </w:p>
        </w:tc>
        <w:tc>
          <w:tcPr>
            <w:tcW w:w="1535" w:type="dxa"/>
            <w:tcBorders>
              <w:top w:val="single" w:sz="8" w:space="0" w:color="auto"/>
            </w:tcBorders>
            <w:noWrap/>
            <w:vAlign w:val="center"/>
          </w:tcPr>
          <w:p w14:paraId="3C94A464"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F20+</w:t>
            </w:r>
          </w:p>
        </w:tc>
        <w:tc>
          <w:tcPr>
            <w:tcW w:w="1043" w:type="dxa"/>
            <w:tcBorders>
              <w:top w:val="single" w:sz="8" w:space="0" w:color="auto"/>
            </w:tcBorders>
            <w:noWrap/>
            <w:vAlign w:val="center"/>
          </w:tcPr>
          <w:p w14:paraId="2D735F61"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359</w:t>
            </w:r>
          </w:p>
        </w:tc>
        <w:tc>
          <w:tcPr>
            <w:tcW w:w="1450" w:type="dxa"/>
            <w:tcBorders>
              <w:top w:val="single" w:sz="8" w:space="0" w:color="auto"/>
            </w:tcBorders>
            <w:noWrap/>
            <w:vAlign w:val="center"/>
          </w:tcPr>
          <w:p w14:paraId="3E1ED7EB"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0.08</w:t>
            </w:r>
          </w:p>
        </w:tc>
        <w:tc>
          <w:tcPr>
            <w:tcW w:w="1760" w:type="dxa"/>
            <w:tcBorders>
              <w:top w:val="single" w:sz="8" w:space="0" w:color="auto"/>
            </w:tcBorders>
            <w:noWrap/>
            <w:vAlign w:val="center"/>
          </w:tcPr>
          <w:p w14:paraId="404E1761"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0.050-0.135</w:t>
            </w:r>
          </w:p>
        </w:tc>
        <w:tc>
          <w:tcPr>
            <w:tcW w:w="1090" w:type="dxa"/>
            <w:tcBorders>
              <w:top w:val="single" w:sz="8" w:space="0" w:color="auto"/>
            </w:tcBorders>
            <w:noWrap/>
            <w:vAlign w:val="center"/>
          </w:tcPr>
          <w:p w14:paraId="0EE3C93F"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0.640</w:t>
            </w:r>
          </w:p>
        </w:tc>
        <w:tc>
          <w:tcPr>
            <w:tcW w:w="720" w:type="dxa"/>
            <w:tcBorders>
              <w:top w:val="single" w:sz="8" w:space="0" w:color="auto"/>
            </w:tcBorders>
            <w:noWrap/>
            <w:vAlign w:val="center"/>
          </w:tcPr>
          <w:p w14:paraId="53AC23AB"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w:t>
            </w:r>
          </w:p>
        </w:tc>
      </w:tr>
      <w:tr w:rsidR="001926E1" w:rsidRPr="003D2C9E" w14:paraId="0169B61C" w14:textId="77777777" w:rsidTr="004A670D">
        <w:trPr>
          <w:trHeight w:val="449"/>
        </w:trPr>
        <w:tc>
          <w:tcPr>
            <w:tcW w:w="1043" w:type="dxa"/>
            <w:noWrap/>
            <w:vAlign w:val="center"/>
          </w:tcPr>
          <w:p w14:paraId="13064035"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PR21</w:t>
            </w:r>
          </w:p>
        </w:tc>
        <w:tc>
          <w:tcPr>
            <w:tcW w:w="1535" w:type="dxa"/>
            <w:noWrap/>
            <w:vAlign w:val="center"/>
          </w:tcPr>
          <w:p w14:paraId="71D9E301"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F3</w:t>
            </w:r>
          </w:p>
        </w:tc>
        <w:tc>
          <w:tcPr>
            <w:tcW w:w="1043" w:type="dxa"/>
            <w:noWrap/>
            <w:vAlign w:val="center"/>
          </w:tcPr>
          <w:p w14:paraId="4EE68E94"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120</w:t>
            </w:r>
          </w:p>
        </w:tc>
        <w:tc>
          <w:tcPr>
            <w:tcW w:w="1450" w:type="dxa"/>
            <w:noWrap/>
            <w:vAlign w:val="center"/>
          </w:tcPr>
          <w:p w14:paraId="7DF8AF49"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0.88</w:t>
            </w:r>
          </w:p>
        </w:tc>
        <w:tc>
          <w:tcPr>
            <w:tcW w:w="1760" w:type="dxa"/>
            <w:noWrap/>
            <w:vAlign w:val="center"/>
          </w:tcPr>
          <w:p w14:paraId="48697676"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0.151-2.015</w:t>
            </w:r>
          </w:p>
        </w:tc>
        <w:tc>
          <w:tcPr>
            <w:tcW w:w="1090" w:type="dxa"/>
            <w:noWrap/>
            <w:vAlign w:val="center"/>
          </w:tcPr>
          <w:p w14:paraId="10F258EC"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0.614</w:t>
            </w:r>
          </w:p>
        </w:tc>
        <w:tc>
          <w:tcPr>
            <w:tcW w:w="720" w:type="dxa"/>
            <w:noWrap/>
            <w:vAlign w:val="center"/>
          </w:tcPr>
          <w:p w14:paraId="3C4A1739"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10.0</w:t>
            </w:r>
          </w:p>
        </w:tc>
      </w:tr>
      <w:tr w:rsidR="001926E1" w:rsidRPr="003D2C9E" w14:paraId="5E3B3DA1" w14:textId="77777777" w:rsidTr="004A670D">
        <w:trPr>
          <w:trHeight w:val="449"/>
        </w:trPr>
        <w:tc>
          <w:tcPr>
            <w:tcW w:w="1043" w:type="dxa"/>
            <w:noWrap/>
            <w:vAlign w:val="center"/>
          </w:tcPr>
          <w:p w14:paraId="4F7BFFD3"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PR21</w:t>
            </w:r>
          </w:p>
        </w:tc>
        <w:tc>
          <w:tcPr>
            <w:tcW w:w="1535" w:type="dxa"/>
            <w:noWrap/>
            <w:vAlign w:val="center"/>
          </w:tcPr>
          <w:p w14:paraId="63122F92"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F5</w:t>
            </w:r>
          </w:p>
        </w:tc>
        <w:tc>
          <w:tcPr>
            <w:tcW w:w="1043" w:type="dxa"/>
            <w:noWrap/>
            <w:vAlign w:val="center"/>
          </w:tcPr>
          <w:p w14:paraId="4BB7EB40"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359</w:t>
            </w:r>
          </w:p>
        </w:tc>
        <w:tc>
          <w:tcPr>
            <w:tcW w:w="1450" w:type="dxa"/>
            <w:noWrap/>
            <w:vAlign w:val="center"/>
          </w:tcPr>
          <w:p w14:paraId="69C8CFB6"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0.95</w:t>
            </w:r>
          </w:p>
        </w:tc>
        <w:tc>
          <w:tcPr>
            <w:tcW w:w="1760" w:type="dxa"/>
            <w:noWrap/>
            <w:vAlign w:val="center"/>
          </w:tcPr>
          <w:p w14:paraId="57D574AC"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0.386-1.698</w:t>
            </w:r>
          </w:p>
        </w:tc>
        <w:tc>
          <w:tcPr>
            <w:tcW w:w="1090" w:type="dxa"/>
            <w:noWrap/>
            <w:vAlign w:val="center"/>
          </w:tcPr>
          <w:p w14:paraId="32E9D87B"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0.551</w:t>
            </w:r>
          </w:p>
        </w:tc>
        <w:tc>
          <w:tcPr>
            <w:tcW w:w="720" w:type="dxa"/>
            <w:noWrap/>
            <w:vAlign w:val="center"/>
          </w:tcPr>
          <w:p w14:paraId="5022B309"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10.8</w:t>
            </w:r>
          </w:p>
        </w:tc>
      </w:tr>
      <w:tr w:rsidR="001926E1" w:rsidRPr="003D2C9E" w14:paraId="3B1C2088" w14:textId="77777777" w:rsidTr="004A670D">
        <w:trPr>
          <w:trHeight w:val="449"/>
        </w:trPr>
        <w:tc>
          <w:tcPr>
            <w:tcW w:w="1043" w:type="dxa"/>
            <w:tcBorders>
              <w:bottom w:val="single" w:sz="8" w:space="0" w:color="auto"/>
            </w:tcBorders>
            <w:noWrap/>
            <w:vAlign w:val="center"/>
          </w:tcPr>
          <w:p w14:paraId="21B82FC4"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 xml:space="preserve">PR24          </w:t>
            </w:r>
          </w:p>
        </w:tc>
        <w:tc>
          <w:tcPr>
            <w:tcW w:w="1535" w:type="dxa"/>
            <w:tcBorders>
              <w:bottom w:val="single" w:sz="8" w:space="0" w:color="auto"/>
            </w:tcBorders>
            <w:noWrap/>
            <w:vAlign w:val="center"/>
          </w:tcPr>
          <w:p w14:paraId="320D49B8"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F2</w:t>
            </w:r>
          </w:p>
        </w:tc>
        <w:tc>
          <w:tcPr>
            <w:tcW w:w="1043" w:type="dxa"/>
            <w:tcBorders>
              <w:bottom w:val="single" w:sz="8" w:space="0" w:color="auto"/>
            </w:tcBorders>
            <w:noWrap/>
            <w:vAlign w:val="center"/>
          </w:tcPr>
          <w:p w14:paraId="42D1F7AD"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514</w:t>
            </w:r>
          </w:p>
        </w:tc>
        <w:tc>
          <w:tcPr>
            <w:tcW w:w="1450" w:type="dxa"/>
            <w:tcBorders>
              <w:bottom w:val="single" w:sz="8" w:space="0" w:color="auto"/>
            </w:tcBorders>
            <w:noWrap/>
            <w:vAlign w:val="center"/>
          </w:tcPr>
          <w:p w14:paraId="0C178DE7"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0.12</w:t>
            </w:r>
          </w:p>
        </w:tc>
        <w:tc>
          <w:tcPr>
            <w:tcW w:w="1760" w:type="dxa"/>
            <w:tcBorders>
              <w:bottom w:val="single" w:sz="8" w:space="0" w:color="auto"/>
            </w:tcBorders>
            <w:noWrap/>
            <w:vAlign w:val="center"/>
          </w:tcPr>
          <w:p w14:paraId="7EAB9987"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0.067-0.219</w:t>
            </w:r>
          </w:p>
        </w:tc>
        <w:tc>
          <w:tcPr>
            <w:tcW w:w="1090" w:type="dxa"/>
            <w:tcBorders>
              <w:bottom w:val="single" w:sz="8" w:space="0" w:color="auto"/>
            </w:tcBorders>
            <w:noWrap/>
            <w:vAlign w:val="center"/>
          </w:tcPr>
          <w:p w14:paraId="182DBC3E"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0.601</w:t>
            </w:r>
          </w:p>
        </w:tc>
        <w:tc>
          <w:tcPr>
            <w:tcW w:w="720" w:type="dxa"/>
            <w:tcBorders>
              <w:bottom w:val="single" w:sz="8" w:space="0" w:color="auto"/>
            </w:tcBorders>
            <w:noWrap/>
            <w:vAlign w:val="center"/>
          </w:tcPr>
          <w:p w14:paraId="2D9B5517" w14:textId="77777777" w:rsidR="001926E1" w:rsidRPr="003D2C9E" w:rsidRDefault="001926E1" w:rsidP="004A670D">
            <w:pPr>
              <w:spacing w:after="0" w:line="240" w:lineRule="auto"/>
              <w:rPr>
                <w:rFonts w:ascii="Times New Roman" w:eastAsia="Calibri" w:hAnsi="Times New Roman" w:cs="Times New Roman"/>
                <w:lang w:eastAsia="en-US"/>
              </w:rPr>
            </w:pPr>
            <w:r w:rsidRPr="003D2C9E">
              <w:rPr>
                <w:rFonts w:ascii="Times New Roman" w:eastAsia="Calibri" w:hAnsi="Times New Roman" w:cs="Times New Roman"/>
                <w:lang w:eastAsia="en-US"/>
              </w:rPr>
              <w:t>1.5</w:t>
            </w:r>
          </w:p>
        </w:tc>
      </w:tr>
    </w:tbl>
    <w:p w14:paraId="72240B9B" w14:textId="77777777" w:rsidR="001926E1" w:rsidRPr="003D2C9E" w:rsidRDefault="001926E1" w:rsidP="001926E1">
      <w:pPr>
        <w:spacing w:afterLines="200" w:after="480" w:line="240" w:lineRule="auto"/>
        <w:contextualSpacing/>
        <w:rPr>
          <w:rFonts w:ascii="Times New Roman" w:eastAsia="Calibri" w:hAnsi="Times New Roman" w:cs="Times New Roman"/>
          <w:sz w:val="20"/>
          <w:szCs w:val="20"/>
          <w:lang w:eastAsia="en-US"/>
        </w:rPr>
      </w:pPr>
      <w:r w:rsidRPr="003D2C9E">
        <w:rPr>
          <w:rFonts w:ascii="Times New Roman" w:eastAsia="Calibri" w:hAnsi="Times New Roman" w:cs="Times New Roman"/>
          <w:sz w:val="20"/>
          <w:szCs w:val="20"/>
          <w:vertAlign w:val="superscript"/>
          <w:lang w:eastAsia="en-US"/>
        </w:rPr>
        <w:t>1</w:t>
      </w:r>
      <w:r w:rsidRPr="003D2C9E">
        <w:rPr>
          <w:rFonts w:ascii="Times New Roman" w:eastAsia="Calibri" w:hAnsi="Times New Roman" w:cs="Times New Roman"/>
          <w:sz w:val="20"/>
          <w:szCs w:val="20"/>
          <w:lang w:eastAsia="en-US"/>
        </w:rPr>
        <w:t>Number of generations in the laboratory when tested.</w:t>
      </w:r>
    </w:p>
    <w:p w14:paraId="6BDE3B4F" w14:textId="77777777" w:rsidR="001926E1" w:rsidRPr="003D2C9E" w:rsidRDefault="001926E1" w:rsidP="001926E1">
      <w:pPr>
        <w:spacing w:afterLines="200" w:after="480" w:line="240" w:lineRule="auto"/>
        <w:contextualSpacing/>
        <w:rPr>
          <w:rFonts w:ascii="Times New Roman" w:eastAsia="Calibri" w:hAnsi="Times New Roman" w:cs="Times New Roman"/>
          <w:sz w:val="20"/>
          <w:szCs w:val="20"/>
          <w:lang w:eastAsia="en-US"/>
        </w:rPr>
      </w:pPr>
      <w:r w:rsidRPr="003D2C9E">
        <w:rPr>
          <w:rFonts w:ascii="Times New Roman" w:eastAsia="Calibri" w:hAnsi="Times New Roman" w:cs="Times New Roman"/>
          <w:sz w:val="20"/>
          <w:szCs w:val="20"/>
          <w:vertAlign w:val="superscript"/>
          <w:lang w:eastAsia="en-US"/>
        </w:rPr>
        <w:t>2</w:t>
      </w:r>
      <w:r w:rsidRPr="003D2C9E">
        <w:rPr>
          <w:rFonts w:ascii="Times New Roman" w:eastAsia="Calibri" w:hAnsi="Times New Roman" w:cs="Times New Roman"/>
          <w:sz w:val="20"/>
          <w:szCs w:val="20"/>
          <w:lang w:eastAsia="en-US"/>
        </w:rPr>
        <w:t>Number of larvae tested to different concentrations of chlorantraniliprole.</w:t>
      </w:r>
    </w:p>
    <w:p w14:paraId="4796253C" w14:textId="77777777" w:rsidR="001926E1" w:rsidRPr="003D2C9E" w:rsidRDefault="001926E1" w:rsidP="001926E1">
      <w:pPr>
        <w:spacing w:afterLines="200" w:after="480" w:line="240" w:lineRule="auto"/>
        <w:contextualSpacing/>
        <w:rPr>
          <w:rFonts w:ascii="Times New Roman" w:eastAsia="Calibri" w:hAnsi="Times New Roman" w:cs="Times New Roman"/>
          <w:sz w:val="20"/>
          <w:szCs w:val="20"/>
          <w:lang w:eastAsia="en-US"/>
        </w:rPr>
      </w:pPr>
      <w:r w:rsidRPr="003D2C9E">
        <w:rPr>
          <w:rFonts w:ascii="Times New Roman" w:eastAsia="Calibri" w:hAnsi="Times New Roman" w:cs="Times New Roman"/>
          <w:sz w:val="20"/>
          <w:szCs w:val="20"/>
          <w:vertAlign w:val="superscript"/>
          <w:lang w:eastAsia="en-US"/>
        </w:rPr>
        <w:t>3</w:t>
      </w:r>
      <w:r w:rsidRPr="003D2C9E">
        <w:rPr>
          <w:rFonts w:ascii="Times New Roman" w:eastAsia="Calibri" w:hAnsi="Times New Roman" w:cs="Times New Roman"/>
          <w:sz w:val="20"/>
          <w:szCs w:val="20"/>
          <w:lang w:eastAsia="en-US"/>
        </w:rPr>
        <w:t>95% fiducial limits.</w:t>
      </w:r>
    </w:p>
    <w:p w14:paraId="661F390C" w14:textId="77777777" w:rsidR="001926E1" w:rsidRPr="003D2C9E" w:rsidRDefault="001926E1" w:rsidP="001926E1">
      <w:pPr>
        <w:spacing w:afterLines="200" w:after="480" w:line="240" w:lineRule="auto"/>
        <w:contextualSpacing/>
        <w:rPr>
          <w:rFonts w:ascii="Times New Roman" w:eastAsia="Calibri" w:hAnsi="Times New Roman" w:cs="Times New Roman"/>
          <w:sz w:val="20"/>
          <w:szCs w:val="20"/>
          <w:lang w:eastAsia="en-US"/>
        </w:rPr>
      </w:pPr>
      <w:r w:rsidRPr="003D2C9E">
        <w:rPr>
          <w:rFonts w:ascii="Times New Roman" w:eastAsia="Calibri" w:hAnsi="Times New Roman" w:cs="Times New Roman"/>
          <w:sz w:val="20"/>
          <w:szCs w:val="20"/>
          <w:vertAlign w:val="superscript"/>
          <w:lang w:eastAsia="en-US"/>
        </w:rPr>
        <w:t>4</w:t>
      </w:r>
      <w:r w:rsidRPr="003D2C9E">
        <w:rPr>
          <w:rFonts w:ascii="Times New Roman" w:eastAsia="Calibri" w:hAnsi="Times New Roman" w:cs="Times New Roman"/>
          <w:sz w:val="20"/>
          <w:szCs w:val="20"/>
          <w:lang w:eastAsia="en-US"/>
        </w:rPr>
        <w:t>Resistance ratio (LC</w:t>
      </w:r>
      <w:r w:rsidRPr="003D2C9E">
        <w:rPr>
          <w:rFonts w:ascii="Times New Roman" w:eastAsia="Calibri" w:hAnsi="Times New Roman" w:cs="Times New Roman"/>
          <w:sz w:val="20"/>
          <w:szCs w:val="20"/>
          <w:vertAlign w:val="subscript"/>
          <w:lang w:eastAsia="en-US"/>
        </w:rPr>
        <w:t>50</w:t>
      </w:r>
      <w:r w:rsidRPr="003D2C9E">
        <w:rPr>
          <w:rFonts w:ascii="Times New Roman" w:eastAsia="Calibri" w:hAnsi="Times New Roman" w:cs="Times New Roman"/>
          <w:sz w:val="20"/>
          <w:szCs w:val="20"/>
          <w:lang w:eastAsia="en-US"/>
        </w:rPr>
        <w:t xml:space="preserve"> of PR strain/LC</w:t>
      </w:r>
      <w:r w:rsidRPr="003D2C9E">
        <w:rPr>
          <w:rFonts w:ascii="Times New Roman" w:eastAsia="Calibri" w:hAnsi="Times New Roman" w:cs="Times New Roman"/>
          <w:sz w:val="20"/>
          <w:szCs w:val="20"/>
          <w:vertAlign w:val="subscript"/>
          <w:lang w:eastAsia="en-US"/>
        </w:rPr>
        <w:t xml:space="preserve">50 </w:t>
      </w:r>
      <w:r w:rsidRPr="003D2C9E">
        <w:rPr>
          <w:rFonts w:ascii="Times New Roman" w:eastAsia="Calibri" w:hAnsi="Times New Roman" w:cs="Times New Roman"/>
          <w:sz w:val="20"/>
          <w:szCs w:val="20"/>
          <w:lang w:eastAsia="en-US"/>
        </w:rPr>
        <w:t>of Lab strain)</w:t>
      </w:r>
    </w:p>
    <w:p w14:paraId="56DC81C9" w14:textId="77777777" w:rsidR="001926E1" w:rsidRPr="003D2C9E" w:rsidRDefault="001926E1" w:rsidP="001926E1">
      <w:pPr>
        <w:widowControl w:val="0"/>
        <w:autoSpaceDE w:val="0"/>
        <w:autoSpaceDN w:val="0"/>
        <w:spacing w:after="120" w:line="276" w:lineRule="auto"/>
        <w:rPr>
          <w:rFonts w:ascii="Times New Roman" w:eastAsia="MS Mincho" w:hAnsi="Times New Roman" w:cs="Times New Roman"/>
          <w:bCs/>
          <w:lang w:eastAsia="ja-JP"/>
        </w:rPr>
      </w:pPr>
    </w:p>
    <w:p w14:paraId="61493405" w14:textId="77777777" w:rsidR="001926E1" w:rsidRPr="00975300" w:rsidRDefault="001926E1" w:rsidP="001926E1">
      <w:pPr>
        <w:spacing w:beforeLines="100" w:before="240" w:afterLines="100" w:after="240" w:line="240" w:lineRule="auto"/>
        <w:rPr>
          <w:rFonts w:ascii="Times New Roman" w:eastAsia="Calibri" w:hAnsi="Times New Roman" w:cs="Times New Roman"/>
          <w:lang w:eastAsia="en-US"/>
        </w:rPr>
      </w:pPr>
      <w:bookmarkStart w:id="2" w:name="_Toc181303019"/>
      <w:r w:rsidRPr="006765ED">
        <w:rPr>
          <w:rFonts w:ascii="Times New Roman" w:eastAsia="Calibri" w:hAnsi="Times New Roman" w:cs="Times New Roman"/>
          <w:b/>
          <w:bCs/>
          <w:lang w:eastAsia="en-US"/>
        </w:rPr>
        <w:t>Table 2.</w:t>
      </w:r>
      <w:r>
        <w:rPr>
          <w:rFonts w:ascii="Times New Roman" w:eastAsia="Calibri" w:hAnsi="Times New Roman" w:cs="Times New Roman"/>
          <w:lang w:eastAsia="en-US"/>
        </w:rPr>
        <w:t xml:space="preserve"> </w:t>
      </w:r>
      <w:r w:rsidRPr="00975300">
        <w:rPr>
          <w:rFonts w:ascii="Times New Roman" w:eastAsia="Calibri" w:hAnsi="Times New Roman" w:cs="Times New Roman"/>
          <w:lang w:eastAsia="en-US"/>
        </w:rPr>
        <w:t>Summary of screening of RyR mutation sites in the PR21 population</w:t>
      </w:r>
      <w:bookmarkEnd w:id="2"/>
    </w:p>
    <w:tbl>
      <w:tblPr>
        <w:tblW w:w="8343" w:type="dxa"/>
        <w:tblLook w:val="04A0" w:firstRow="1" w:lastRow="0" w:firstColumn="1" w:lastColumn="0" w:noHBand="0" w:noVBand="1"/>
      </w:tblPr>
      <w:tblGrid>
        <w:gridCol w:w="2138"/>
        <w:gridCol w:w="2138"/>
        <w:gridCol w:w="2138"/>
        <w:gridCol w:w="1929"/>
      </w:tblGrid>
      <w:tr w:rsidR="001926E1" w:rsidRPr="00975300" w14:paraId="60307161" w14:textId="77777777" w:rsidTr="00EE5B69">
        <w:trPr>
          <w:trHeight w:val="217"/>
        </w:trPr>
        <w:tc>
          <w:tcPr>
            <w:tcW w:w="2138" w:type="dxa"/>
            <w:tcBorders>
              <w:top w:val="single" w:sz="8" w:space="0" w:color="7F7F7F"/>
              <w:left w:val="nil"/>
              <w:bottom w:val="single" w:sz="8" w:space="0" w:color="7F7F7F"/>
              <w:right w:val="nil"/>
            </w:tcBorders>
            <w:vAlign w:val="center"/>
            <w:hideMark/>
          </w:tcPr>
          <w:p w14:paraId="505D8B5E" w14:textId="77777777" w:rsidR="001926E1" w:rsidRPr="00975300" w:rsidRDefault="001926E1" w:rsidP="004A670D">
            <w:pPr>
              <w:spacing w:after="0" w:line="240" w:lineRule="auto"/>
              <w:rPr>
                <w:rFonts w:ascii="Times New Roman" w:eastAsia="Calibri" w:hAnsi="Times New Roman" w:cs="Times New Roman"/>
                <w:lang w:eastAsia="en-US"/>
              </w:rPr>
            </w:pPr>
            <w:bookmarkStart w:id="3" w:name="_Hlk178080757"/>
            <w:r w:rsidRPr="00975300">
              <w:rPr>
                <w:rFonts w:ascii="Times New Roman" w:eastAsia="Calibri" w:hAnsi="Times New Roman" w:cs="Times New Roman"/>
                <w:lang w:eastAsia="en-US"/>
              </w:rPr>
              <w:t>Target</w:t>
            </w:r>
          </w:p>
        </w:tc>
        <w:tc>
          <w:tcPr>
            <w:tcW w:w="2138" w:type="dxa"/>
            <w:tcBorders>
              <w:top w:val="single" w:sz="8" w:space="0" w:color="7F7F7F"/>
              <w:left w:val="nil"/>
              <w:bottom w:val="single" w:sz="8" w:space="0" w:color="7F7F7F"/>
              <w:right w:val="nil"/>
            </w:tcBorders>
            <w:vAlign w:val="center"/>
            <w:hideMark/>
          </w:tcPr>
          <w:p w14:paraId="2FB8700A"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N*</w:t>
            </w:r>
          </w:p>
        </w:tc>
        <w:tc>
          <w:tcPr>
            <w:tcW w:w="2138" w:type="dxa"/>
            <w:tcBorders>
              <w:top w:val="single" w:sz="8" w:space="0" w:color="7F7F7F"/>
              <w:left w:val="nil"/>
              <w:bottom w:val="single" w:sz="8" w:space="0" w:color="7F7F7F"/>
              <w:right w:val="nil"/>
            </w:tcBorders>
            <w:vAlign w:val="center"/>
            <w:hideMark/>
          </w:tcPr>
          <w:p w14:paraId="51AEEFC5"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Nm**</w:t>
            </w:r>
          </w:p>
        </w:tc>
        <w:tc>
          <w:tcPr>
            <w:tcW w:w="1929" w:type="dxa"/>
            <w:tcBorders>
              <w:top w:val="single" w:sz="8" w:space="0" w:color="7F7F7F"/>
              <w:left w:val="nil"/>
              <w:bottom w:val="single" w:sz="8" w:space="0" w:color="7F7F7F"/>
              <w:right w:val="nil"/>
            </w:tcBorders>
            <w:vAlign w:val="center"/>
            <w:hideMark/>
          </w:tcPr>
          <w:p w14:paraId="3F3144FD"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MR (%)***</w:t>
            </w:r>
          </w:p>
        </w:tc>
      </w:tr>
      <w:tr w:rsidR="001926E1" w:rsidRPr="00975300" w14:paraId="1CB79AB6" w14:textId="77777777" w:rsidTr="00EE5B69">
        <w:trPr>
          <w:trHeight w:val="373"/>
        </w:trPr>
        <w:tc>
          <w:tcPr>
            <w:tcW w:w="2138" w:type="dxa"/>
            <w:tcBorders>
              <w:top w:val="nil"/>
              <w:left w:val="nil"/>
              <w:bottom w:val="nil"/>
              <w:right w:val="nil"/>
            </w:tcBorders>
            <w:vAlign w:val="center"/>
            <w:hideMark/>
          </w:tcPr>
          <w:p w14:paraId="3D7A7D6A"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E1338</w:t>
            </w:r>
          </w:p>
        </w:tc>
        <w:tc>
          <w:tcPr>
            <w:tcW w:w="2138" w:type="dxa"/>
            <w:tcBorders>
              <w:top w:val="nil"/>
              <w:left w:val="nil"/>
              <w:bottom w:val="nil"/>
              <w:right w:val="nil"/>
            </w:tcBorders>
            <w:vAlign w:val="center"/>
            <w:hideMark/>
          </w:tcPr>
          <w:p w14:paraId="1F2A29EB"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110</w:t>
            </w:r>
          </w:p>
        </w:tc>
        <w:tc>
          <w:tcPr>
            <w:tcW w:w="2138" w:type="dxa"/>
            <w:tcBorders>
              <w:top w:val="nil"/>
              <w:left w:val="nil"/>
              <w:bottom w:val="nil"/>
              <w:right w:val="nil"/>
            </w:tcBorders>
            <w:vAlign w:val="center"/>
            <w:hideMark/>
          </w:tcPr>
          <w:p w14:paraId="2F96F11E"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c>
          <w:tcPr>
            <w:tcW w:w="1929" w:type="dxa"/>
            <w:tcBorders>
              <w:top w:val="nil"/>
              <w:left w:val="nil"/>
              <w:bottom w:val="nil"/>
              <w:right w:val="nil"/>
            </w:tcBorders>
            <w:vAlign w:val="center"/>
            <w:hideMark/>
          </w:tcPr>
          <w:p w14:paraId="4CACD015"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r>
      <w:tr w:rsidR="001926E1" w:rsidRPr="00975300" w14:paraId="28231B11" w14:textId="77777777" w:rsidTr="00EE5B69">
        <w:trPr>
          <w:trHeight w:val="373"/>
        </w:trPr>
        <w:tc>
          <w:tcPr>
            <w:tcW w:w="2138" w:type="dxa"/>
            <w:tcBorders>
              <w:top w:val="nil"/>
              <w:left w:val="nil"/>
              <w:bottom w:val="nil"/>
              <w:right w:val="nil"/>
            </w:tcBorders>
            <w:vAlign w:val="center"/>
            <w:hideMark/>
          </w:tcPr>
          <w:p w14:paraId="4AB6ECDE"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Q4594</w:t>
            </w:r>
          </w:p>
        </w:tc>
        <w:tc>
          <w:tcPr>
            <w:tcW w:w="2138" w:type="dxa"/>
            <w:tcBorders>
              <w:top w:val="nil"/>
              <w:left w:val="nil"/>
              <w:bottom w:val="nil"/>
              <w:right w:val="nil"/>
            </w:tcBorders>
            <w:vAlign w:val="center"/>
            <w:hideMark/>
          </w:tcPr>
          <w:p w14:paraId="66A9D5B1"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91</w:t>
            </w:r>
          </w:p>
        </w:tc>
        <w:tc>
          <w:tcPr>
            <w:tcW w:w="2138" w:type="dxa"/>
            <w:tcBorders>
              <w:top w:val="nil"/>
              <w:left w:val="nil"/>
              <w:bottom w:val="nil"/>
              <w:right w:val="nil"/>
            </w:tcBorders>
            <w:vAlign w:val="center"/>
            <w:hideMark/>
          </w:tcPr>
          <w:p w14:paraId="1C77C75D"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c>
          <w:tcPr>
            <w:tcW w:w="1929" w:type="dxa"/>
            <w:tcBorders>
              <w:top w:val="nil"/>
              <w:left w:val="nil"/>
              <w:bottom w:val="nil"/>
              <w:right w:val="nil"/>
            </w:tcBorders>
            <w:vAlign w:val="center"/>
            <w:hideMark/>
          </w:tcPr>
          <w:p w14:paraId="3A27E904"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r>
      <w:tr w:rsidR="001926E1" w:rsidRPr="00975300" w14:paraId="507231FA" w14:textId="77777777" w:rsidTr="00EE5B69">
        <w:trPr>
          <w:trHeight w:val="373"/>
        </w:trPr>
        <w:tc>
          <w:tcPr>
            <w:tcW w:w="2138" w:type="dxa"/>
            <w:tcBorders>
              <w:top w:val="nil"/>
              <w:left w:val="nil"/>
              <w:bottom w:val="nil"/>
              <w:right w:val="nil"/>
            </w:tcBorders>
            <w:vAlign w:val="center"/>
            <w:hideMark/>
          </w:tcPr>
          <w:p w14:paraId="65D22222"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Y4667</w:t>
            </w:r>
          </w:p>
        </w:tc>
        <w:tc>
          <w:tcPr>
            <w:tcW w:w="2138" w:type="dxa"/>
            <w:tcBorders>
              <w:top w:val="nil"/>
              <w:left w:val="nil"/>
              <w:bottom w:val="nil"/>
              <w:right w:val="nil"/>
            </w:tcBorders>
            <w:vAlign w:val="center"/>
            <w:hideMark/>
          </w:tcPr>
          <w:p w14:paraId="49744CB7"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206</w:t>
            </w:r>
          </w:p>
        </w:tc>
        <w:tc>
          <w:tcPr>
            <w:tcW w:w="2138" w:type="dxa"/>
            <w:tcBorders>
              <w:top w:val="nil"/>
              <w:left w:val="nil"/>
              <w:bottom w:val="nil"/>
              <w:right w:val="nil"/>
            </w:tcBorders>
            <w:vAlign w:val="center"/>
            <w:hideMark/>
          </w:tcPr>
          <w:p w14:paraId="0DAFE492"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115</w:t>
            </w:r>
          </w:p>
        </w:tc>
        <w:tc>
          <w:tcPr>
            <w:tcW w:w="1929" w:type="dxa"/>
            <w:tcBorders>
              <w:top w:val="nil"/>
              <w:left w:val="nil"/>
              <w:bottom w:val="nil"/>
              <w:right w:val="nil"/>
            </w:tcBorders>
            <w:vAlign w:val="center"/>
            <w:hideMark/>
          </w:tcPr>
          <w:p w14:paraId="2FE07195"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61</w:t>
            </w:r>
          </w:p>
        </w:tc>
      </w:tr>
      <w:tr w:rsidR="001926E1" w:rsidRPr="00975300" w14:paraId="570B4FD3" w14:textId="77777777" w:rsidTr="00EE5B69">
        <w:trPr>
          <w:trHeight w:val="373"/>
        </w:trPr>
        <w:tc>
          <w:tcPr>
            <w:tcW w:w="2138" w:type="dxa"/>
            <w:tcBorders>
              <w:top w:val="nil"/>
              <w:left w:val="nil"/>
              <w:bottom w:val="nil"/>
              <w:right w:val="nil"/>
            </w:tcBorders>
            <w:vAlign w:val="center"/>
            <w:hideMark/>
          </w:tcPr>
          <w:p w14:paraId="47F41D49"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I4790</w:t>
            </w:r>
          </w:p>
        </w:tc>
        <w:tc>
          <w:tcPr>
            <w:tcW w:w="2138" w:type="dxa"/>
            <w:tcBorders>
              <w:top w:val="nil"/>
              <w:left w:val="nil"/>
              <w:bottom w:val="nil"/>
              <w:right w:val="nil"/>
            </w:tcBorders>
            <w:vAlign w:val="center"/>
            <w:hideMark/>
          </w:tcPr>
          <w:p w14:paraId="7B144EB6"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206</w:t>
            </w:r>
          </w:p>
        </w:tc>
        <w:tc>
          <w:tcPr>
            <w:tcW w:w="2138" w:type="dxa"/>
            <w:tcBorders>
              <w:top w:val="nil"/>
              <w:left w:val="nil"/>
              <w:bottom w:val="nil"/>
              <w:right w:val="nil"/>
            </w:tcBorders>
            <w:vAlign w:val="center"/>
            <w:hideMark/>
          </w:tcPr>
          <w:p w14:paraId="551C8A1C"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c>
          <w:tcPr>
            <w:tcW w:w="1929" w:type="dxa"/>
            <w:tcBorders>
              <w:top w:val="nil"/>
              <w:left w:val="nil"/>
              <w:bottom w:val="nil"/>
              <w:right w:val="nil"/>
            </w:tcBorders>
            <w:vAlign w:val="center"/>
            <w:hideMark/>
          </w:tcPr>
          <w:p w14:paraId="42EB46E3"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r>
      <w:tr w:rsidR="001926E1" w:rsidRPr="00975300" w14:paraId="34A529D2" w14:textId="77777777" w:rsidTr="00EE5B69">
        <w:trPr>
          <w:trHeight w:val="373"/>
        </w:trPr>
        <w:tc>
          <w:tcPr>
            <w:tcW w:w="2138" w:type="dxa"/>
            <w:tcBorders>
              <w:top w:val="nil"/>
              <w:left w:val="nil"/>
              <w:right w:val="nil"/>
            </w:tcBorders>
            <w:vAlign w:val="center"/>
            <w:hideMark/>
          </w:tcPr>
          <w:p w14:paraId="680237ED"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Y4891</w:t>
            </w:r>
          </w:p>
        </w:tc>
        <w:tc>
          <w:tcPr>
            <w:tcW w:w="2138" w:type="dxa"/>
            <w:tcBorders>
              <w:top w:val="nil"/>
              <w:left w:val="nil"/>
              <w:right w:val="nil"/>
            </w:tcBorders>
            <w:vAlign w:val="center"/>
            <w:hideMark/>
          </w:tcPr>
          <w:p w14:paraId="38287CFA"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206</w:t>
            </w:r>
          </w:p>
        </w:tc>
        <w:tc>
          <w:tcPr>
            <w:tcW w:w="2138" w:type="dxa"/>
            <w:tcBorders>
              <w:top w:val="nil"/>
              <w:left w:val="nil"/>
              <w:right w:val="nil"/>
            </w:tcBorders>
            <w:vAlign w:val="center"/>
            <w:hideMark/>
          </w:tcPr>
          <w:p w14:paraId="044F62A8"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c>
          <w:tcPr>
            <w:tcW w:w="1929" w:type="dxa"/>
            <w:tcBorders>
              <w:top w:val="nil"/>
              <w:left w:val="nil"/>
              <w:right w:val="nil"/>
            </w:tcBorders>
            <w:vAlign w:val="center"/>
            <w:hideMark/>
          </w:tcPr>
          <w:p w14:paraId="748886B8"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r>
      <w:tr w:rsidR="001926E1" w:rsidRPr="00975300" w14:paraId="1311CF7D" w14:textId="77777777" w:rsidTr="00EE5B69">
        <w:trPr>
          <w:trHeight w:val="373"/>
        </w:trPr>
        <w:tc>
          <w:tcPr>
            <w:tcW w:w="2138" w:type="dxa"/>
            <w:tcBorders>
              <w:top w:val="nil"/>
              <w:left w:val="nil"/>
              <w:bottom w:val="single" w:sz="4" w:space="0" w:color="auto"/>
              <w:right w:val="nil"/>
            </w:tcBorders>
            <w:vAlign w:val="center"/>
            <w:hideMark/>
          </w:tcPr>
          <w:p w14:paraId="3F422333"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G4946</w:t>
            </w:r>
          </w:p>
        </w:tc>
        <w:tc>
          <w:tcPr>
            <w:tcW w:w="2138" w:type="dxa"/>
            <w:tcBorders>
              <w:top w:val="nil"/>
              <w:left w:val="nil"/>
              <w:bottom w:val="single" w:sz="4" w:space="0" w:color="auto"/>
              <w:right w:val="nil"/>
            </w:tcBorders>
            <w:vAlign w:val="center"/>
            <w:hideMark/>
          </w:tcPr>
          <w:p w14:paraId="674D210F"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206</w:t>
            </w:r>
          </w:p>
        </w:tc>
        <w:tc>
          <w:tcPr>
            <w:tcW w:w="2138" w:type="dxa"/>
            <w:tcBorders>
              <w:top w:val="nil"/>
              <w:left w:val="nil"/>
              <w:bottom w:val="single" w:sz="4" w:space="0" w:color="auto"/>
              <w:right w:val="nil"/>
            </w:tcBorders>
            <w:vAlign w:val="center"/>
            <w:hideMark/>
          </w:tcPr>
          <w:p w14:paraId="14FA2BDF"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c>
          <w:tcPr>
            <w:tcW w:w="1929" w:type="dxa"/>
            <w:tcBorders>
              <w:top w:val="nil"/>
              <w:left w:val="nil"/>
              <w:bottom w:val="single" w:sz="4" w:space="0" w:color="auto"/>
              <w:right w:val="nil"/>
            </w:tcBorders>
            <w:vAlign w:val="center"/>
            <w:hideMark/>
          </w:tcPr>
          <w:p w14:paraId="5C71C14F" w14:textId="77777777" w:rsidR="001926E1" w:rsidRPr="00975300" w:rsidRDefault="001926E1" w:rsidP="004A670D">
            <w:pPr>
              <w:spacing w:after="0" w:line="240" w:lineRule="auto"/>
              <w:rPr>
                <w:rFonts w:ascii="Times New Roman" w:eastAsia="Calibri" w:hAnsi="Times New Roman" w:cs="Times New Roman"/>
                <w:lang w:eastAsia="en-US"/>
              </w:rPr>
            </w:pPr>
            <w:r w:rsidRPr="00975300">
              <w:rPr>
                <w:rFonts w:ascii="Times New Roman" w:eastAsia="Calibri" w:hAnsi="Times New Roman" w:cs="Times New Roman"/>
                <w:lang w:eastAsia="en-US"/>
              </w:rPr>
              <w:t>0</w:t>
            </w:r>
          </w:p>
        </w:tc>
      </w:tr>
    </w:tbl>
    <w:bookmarkEnd w:id="3"/>
    <w:p w14:paraId="32AA9162" w14:textId="77777777" w:rsidR="001926E1" w:rsidRPr="00975300" w:rsidRDefault="001926E1" w:rsidP="001926E1">
      <w:pPr>
        <w:spacing w:afterLines="200" w:after="480" w:line="240" w:lineRule="auto"/>
        <w:contextualSpacing/>
        <w:rPr>
          <w:rFonts w:ascii="Times New Roman" w:eastAsia="Calibri" w:hAnsi="Times New Roman" w:cs="Times New Roman"/>
          <w:sz w:val="20"/>
          <w:szCs w:val="20"/>
          <w:lang w:eastAsia="en-US"/>
        </w:rPr>
      </w:pPr>
      <w:r w:rsidRPr="00975300">
        <w:rPr>
          <w:rFonts w:ascii="Times New Roman" w:eastAsia="Calibri" w:hAnsi="Times New Roman" w:cs="Times New Roman"/>
          <w:sz w:val="20"/>
          <w:szCs w:val="20"/>
          <w:lang w:eastAsia="en-US"/>
        </w:rPr>
        <w:t>*N: Number of screened individuals</w:t>
      </w:r>
    </w:p>
    <w:p w14:paraId="54983491" w14:textId="77777777" w:rsidR="001926E1" w:rsidRPr="00975300" w:rsidRDefault="001926E1" w:rsidP="001926E1">
      <w:pPr>
        <w:spacing w:afterLines="200" w:after="480" w:line="240" w:lineRule="auto"/>
        <w:contextualSpacing/>
        <w:rPr>
          <w:rFonts w:ascii="Times New Roman" w:eastAsia="Calibri" w:hAnsi="Times New Roman" w:cs="Times New Roman"/>
          <w:sz w:val="20"/>
          <w:szCs w:val="20"/>
          <w:lang w:eastAsia="en-US"/>
        </w:rPr>
      </w:pPr>
      <w:r w:rsidRPr="00975300">
        <w:rPr>
          <w:rFonts w:ascii="Times New Roman" w:eastAsia="Calibri" w:hAnsi="Times New Roman" w:cs="Times New Roman"/>
          <w:sz w:val="20"/>
          <w:szCs w:val="20"/>
          <w:lang w:eastAsia="en-US"/>
        </w:rPr>
        <w:t>**Nm: Number of mutated individuals</w:t>
      </w:r>
    </w:p>
    <w:p w14:paraId="6E2581F4" w14:textId="77777777" w:rsidR="001926E1" w:rsidRPr="00975300" w:rsidRDefault="001926E1" w:rsidP="001926E1">
      <w:pPr>
        <w:spacing w:afterLines="200" w:after="480" w:line="240" w:lineRule="auto"/>
        <w:contextualSpacing/>
        <w:rPr>
          <w:rFonts w:ascii="Times New Roman" w:eastAsia="Calibri" w:hAnsi="Times New Roman" w:cs="Times New Roman"/>
          <w:sz w:val="20"/>
          <w:szCs w:val="20"/>
          <w:lang w:eastAsia="en-US"/>
        </w:rPr>
      </w:pPr>
      <w:r w:rsidRPr="00975300">
        <w:rPr>
          <w:rFonts w:ascii="Times New Roman" w:eastAsia="Calibri" w:hAnsi="Times New Roman" w:cs="Times New Roman"/>
          <w:sz w:val="20"/>
          <w:szCs w:val="20"/>
          <w:lang w:eastAsia="en-US"/>
        </w:rPr>
        <w:t xml:space="preserve">***MR: Mutation ratio </w:t>
      </w:r>
    </w:p>
    <w:p w14:paraId="405DBEBD" w14:textId="77777777" w:rsidR="001926E1" w:rsidRPr="00EE5B69" w:rsidRDefault="001926E1" w:rsidP="001926E1">
      <w:pPr>
        <w:widowControl w:val="0"/>
        <w:autoSpaceDE w:val="0"/>
        <w:autoSpaceDN w:val="0"/>
        <w:spacing w:after="120" w:line="276" w:lineRule="auto"/>
        <w:rPr>
          <w:rFonts w:ascii="Times New Roman" w:eastAsia="MS Mincho" w:hAnsi="Times New Roman" w:cs="Times New Roman"/>
          <w:bCs/>
          <w:lang w:eastAsia="ja-JP"/>
        </w:rPr>
      </w:pPr>
    </w:p>
    <w:p w14:paraId="676B2FBA" w14:textId="77777777" w:rsidR="001926E1" w:rsidRPr="00730097" w:rsidRDefault="001926E1" w:rsidP="001926E1">
      <w:pPr>
        <w:spacing w:beforeLines="100" w:before="240" w:afterLines="100" w:after="240" w:line="240" w:lineRule="auto"/>
        <w:rPr>
          <w:rFonts w:ascii="Times New Roman" w:eastAsia="Calibri" w:hAnsi="Times New Roman" w:cs="Times New Roman"/>
          <w:lang w:eastAsia="en-US"/>
        </w:rPr>
      </w:pPr>
      <w:bookmarkStart w:id="4" w:name="_Toc181303020"/>
      <w:r w:rsidRPr="00EE5B69">
        <w:rPr>
          <w:rFonts w:ascii="Times New Roman" w:eastAsia="Calibri" w:hAnsi="Times New Roman" w:cs="Times New Roman"/>
          <w:b/>
          <w:bCs/>
          <w:lang w:eastAsia="en-US"/>
        </w:rPr>
        <w:t>Table 3.</w:t>
      </w:r>
      <w:r w:rsidRPr="00EE5B69">
        <w:rPr>
          <w:rFonts w:ascii="Times New Roman" w:eastAsia="Calibri" w:hAnsi="Times New Roman" w:cs="Times New Roman"/>
          <w:lang w:eastAsia="en-US"/>
        </w:rPr>
        <w:t xml:space="preserve"> </w:t>
      </w:r>
      <w:r w:rsidRPr="00730097">
        <w:rPr>
          <w:rFonts w:ascii="Times New Roman" w:eastAsia="Calibri" w:hAnsi="Times New Roman" w:cs="Times New Roman"/>
          <w:lang w:eastAsia="en-US"/>
        </w:rPr>
        <w:t>Summary of Y4667C screening in eight soybean looper populations.</w:t>
      </w:r>
      <w:bookmarkEnd w:id="4"/>
    </w:p>
    <w:tbl>
      <w:tblPr>
        <w:tblW w:w="8460" w:type="dxa"/>
        <w:tblCellMar>
          <w:left w:w="0" w:type="dxa"/>
          <w:right w:w="0" w:type="dxa"/>
        </w:tblCellMar>
        <w:tblLook w:val="0420" w:firstRow="1" w:lastRow="0" w:firstColumn="0" w:lastColumn="0" w:noHBand="0" w:noVBand="1"/>
      </w:tblPr>
      <w:tblGrid>
        <w:gridCol w:w="3694"/>
        <w:gridCol w:w="1241"/>
        <w:gridCol w:w="1123"/>
        <w:gridCol w:w="1270"/>
        <w:gridCol w:w="1132"/>
      </w:tblGrid>
      <w:tr w:rsidR="001926E1" w:rsidRPr="00730097" w14:paraId="50D33108" w14:textId="77777777" w:rsidTr="004A670D">
        <w:trPr>
          <w:trHeight w:hRule="exact" w:val="316"/>
        </w:trPr>
        <w:tc>
          <w:tcPr>
            <w:tcW w:w="3694"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612CEF6"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SBL Population</w:t>
            </w:r>
          </w:p>
        </w:tc>
        <w:tc>
          <w:tcPr>
            <w:tcW w:w="1241"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A9A656B"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SS</w:t>
            </w:r>
          </w:p>
        </w:tc>
        <w:tc>
          <w:tcPr>
            <w:tcW w:w="1123"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031A099"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SR</w:t>
            </w:r>
          </w:p>
        </w:tc>
        <w:tc>
          <w:tcPr>
            <w:tcW w:w="127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AEAE88B"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RR</w:t>
            </w:r>
          </w:p>
        </w:tc>
        <w:tc>
          <w:tcPr>
            <w:tcW w:w="1132"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0E809F8"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LC</w:t>
            </w:r>
            <w:r w:rsidRPr="00730097">
              <w:rPr>
                <w:rFonts w:ascii="Times New Roman" w:eastAsia="Aptos" w:hAnsi="Times New Roman" w:cs="Times New Roman"/>
                <w:kern w:val="2"/>
                <w:vertAlign w:val="subscript"/>
                <w:lang w:eastAsia="en-US"/>
                <w14:ligatures w14:val="standardContextual"/>
              </w:rPr>
              <w:t>50</w:t>
            </w:r>
          </w:p>
        </w:tc>
      </w:tr>
      <w:tr w:rsidR="001926E1" w:rsidRPr="00730097" w14:paraId="234D5035" w14:textId="77777777" w:rsidTr="004A670D">
        <w:trPr>
          <w:trHeight w:hRule="exact" w:val="316"/>
        </w:trPr>
        <w:tc>
          <w:tcPr>
            <w:tcW w:w="3694" w:type="dxa"/>
            <w:tcBorders>
              <w:top w:val="single" w:sz="8" w:space="0" w:color="000000"/>
              <w:left w:val="nil"/>
              <w:bottom w:val="nil"/>
              <w:right w:val="nil"/>
            </w:tcBorders>
            <w:tcMar>
              <w:top w:w="15" w:type="dxa"/>
              <w:left w:w="108" w:type="dxa"/>
              <w:bottom w:w="0" w:type="dxa"/>
              <w:right w:w="108" w:type="dxa"/>
            </w:tcMar>
            <w:vAlign w:val="center"/>
            <w:hideMark/>
          </w:tcPr>
          <w:p w14:paraId="510CD3C0"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LAB (F20+)</w:t>
            </w:r>
          </w:p>
        </w:tc>
        <w:tc>
          <w:tcPr>
            <w:tcW w:w="1241" w:type="dxa"/>
            <w:tcBorders>
              <w:top w:val="single" w:sz="8" w:space="0" w:color="000000"/>
              <w:left w:val="nil"/>
              <w:bottom w:val="nil"/>
              <w:right w:val="nil"/>
            </w:tcBorders>
            <w:tcMar>
              <w:top w:w="15" w:type="dxa"/>
              <w:left w:w="108" w:type="dxa"/>
              <w:bottom w:w="0" w:type="dxa"/>
              <w:right w:w="108" w:type="dxa"/>
            </w:tcMar>
            <w:vAlign w:val="center"/>
            <w:hideMark/>
          </w:tcPr>
          <w:p w14:paraId="74245067"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1</w:t>
            </w:r>
          </w:p>
        </w:tc>
        <w:tc>
          <w:tcPr>
            <w:tcW w:w="1123" w:type="dxa"/>
            <w:tcBorders>
              <w:top w:val="single" w:sz="8" w:space="0" w:color="000000"/>
              <w:left w:val="nil"/>
              <w:bottom w:val="nil"/>
              <w:right w:val="nil"/>
            </w:tcBorders>
            <w:tcMar>
              <w:top w:w="15" w:type="dxa"/>
              <w:left w:w="108" w:type="dxa"/>
              <w:bottom w:w="0" w:type="dxa"/>
              <w:right w:w="108" w:type="dxa"/>
            </w:tcMar>
            <w:vAlign w:val="center"/>
            <w:hideMark/>
          </w:tcPr>
          <w:p w14:paraId="302D6F96"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16</w:t>
            </w:r>
          </w:p>
        </w:tc>
        <w:tc>
          <w:tcPr>
            <w:tcW w:w="1270" w:type="dxa"/>
            <w:tcBorders>
              <w:top w:val="single" w:sz="8" w:space="0" w:color="000000"/>
              <w:left w:val="nil"/>
              <w:bottom w:val="nil"/>
              <w:right w:val="nil"/>
            </w:tcBorders>
            <w:tcMar>
              <w:top w:w="15" w:type="dxa"/>
              <w:left w:w="108" w:type="dxa"/>
              <w:bottom w:w="0" w:type="dxa"/>
              <w:right w:w="108" w:type="dxa"/>
            </w:tcMar>
            <w:vAlign w:val="center"/>
            <w:hideMark/>
          </w:tcPr>
          <w:p w14:paraId="5A1EA42F"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w:t>
            </w:r>
          </w:p>
        </w:tc>
        <w:tc>
          <w:tcPr>
            <w:tcW w:w="1132" w:type="dxa"/>
            <w:tcBorders>
              <w:top w:val="single" w:sz="8" w:space="0" w:color="000000"/>
              <w:left w:val="nil"/>
              <w:bottom w:val="nil"/>
              <w:right w:val="nil"/>
            </w:tcBorders>
            <w:tcMar>
              <w:top w:w="15" w:type="dxa"/>
              <w:left w:w="108" w:type="dxa"/>
              <w:bottom w:w="0" w:type="dxa"/>
              <w:right w:w="108" w:type="dxa"/>
            </w:tcMar>
            <w:vAlign w:val="center"/>
            <w:hideMark/>
          </w:tcPr>
          <w:p w14:paraId="648D7EFB"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0.09</w:t>
            </w:r>
          </w:p>
        </w:tc>
      </w:tr>
      <w:tr w:rsidR="001926E1" w:rsidRPr="00730097" w14:paraId="70D1055F" w14:textId="77777777" w:rsidTr="004A670D">
        <w:trPr>
          <w:trHeight w:hRule="exact" w:val="316"/>
        </w:trPr>
        <w:tc>
          <w:tcPr>
            <w:tcW w:w="3694" w:type="dxa"/>
            <w:tcBorders>
              <w:top w:val="nil"/>
              <w:left w:val="nil"/>
              <w:bottom w:val="nil"/>
              <w:right w:val="nil"/>
            </w:tcBorders>
            <w:tcMar>
              <w:top w:w="15" w:type="dxa"/>
              <w:left w:w="108" w:type="dxa"/>
              <w:bottom w:w="0" w:type="dxa"/>
              <w:right w:w="108" w:type="dxa"/>
            </w:tcMar>
            <w:vAlign w:val="center"/>
            <w:hideMark/>
          </w:tcPr>
          <w:p w14:paraId="680ABFBE"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TN</w:t>
            </w:r>
          </w:p>
        </w:tc>
        <w:tc>
          <w:tcPr>
            <w:tcW w:w="1241" w:type="dxa"/>
            <w:tcBorders>
              <w:top w:val="nil"/>
              <w:left w:val="nil"/>
              <w:bottom w:val="nil"/>
              <w:right w:val="nil"/>
            </w:tcBorders>
            <w:tcMar>
              <w:top w:w="15" w:type="dxa"/>
              <w:left w:w="108" w:type="dxa"/>
              <w:bottom w:w="0" w:type="dxa"/>
              <w:right w:w="108" w:type="dxa"/>
            </w:tcMar>
            <w:vAlign w:val="center"/>
            <w:hideMark/>
          </w:tcPr>
          <w:p w14:paraId="7F6AC897"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6</w:t>
            </w:r>
          </w:p>
        </w:tc>
        <w:tc>
          <w:tcPr>
            <w:tcW w:w="1123" w:type="dxa"/>
            <w:tcBorders>
              <w:top w:val="nil"/>
              <w:left w:val="nil"/>
              <w:bottom w:val="nil"/>
              <w:right w:val="nil"/>
            </w:tcBorders>
            <w:tcMar>
              <w:top w:w="15" w:type="dxa"/>
              <w:left w:w="108" w:type="dxa"/>
              <w:bottom w:w="0" w:type="dxa"/>
              <w:right w:w="108" w:type="dxa"/>
            </w:tcMar>
            <w:vAlign w:val="center"/>
            <w:hideMark/>
          </w:tcPr>
          <w:p w14:paraId="3E9E50A0"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4</w:t>
            </w:r>
          </w:p>
        </w:tc>
        <w:tc>
          <w:tcPr>
            <w:tcW w:w="1270" w:type="dxa"/>
            <w:tcBorders>
              <w:top w:val="nil"/>
              <w:left w:val="nil"/>
              <w:bottom w:val="nil"/>
              <w:right w:val="nil"/>
            </w:tcBorders>
            <w:tcMar>
              <w:top w:w="15" w:type="dxa"/>
              <w:left w:w="108" w:type="dxa"/>
              <w:bottom w:w="0" w:type="dxa"/>
              <w:right w:w="108" w:type="dxa"/>
            </w:tcMar>
            <w:vAlign w:val="center"/>
            <w:hideMark/>
          </w:tcPr>
          <w:p w14:paraId="5A87E90F"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w:t>
            </w:r>
          </w:p>
        </w:tc>
        <w:tc>
          <w:tcPr>
            <w:tcW w:w="1132" w:type="dxa"/>
            <w:tcBorders>
              <w:top w:val="nil"/>
              <w:left w:val="nil"/>
              <w:bottom w:val="nil"/>
              <w:right w:val="nil"/>
            </w:tcBorders>
            <w:tcMar>
              <w:top w:w="15" w:type="dxa"/>
              <w:left w:w="108" w:type="dxa"/>
              <w:bottom w:w="0" w:type="dxa"/>
              <w:right w:w="108" w:type="dxa"/>
            </w:tcMar>
            <w:vAlign w:val="center"/>
            <w:hideMark/>
          </w:tcPr>
          <w:p w14:paraId="2B04C39C"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w:t>
            </w:r>
          </w:p>
        </w:tc>
      </w:tr>
      <w:tr w:rsidR="001926E1" w:rsidRPr="00730097" w14:paraId="28659505" w14:textId="77777777" w:rsidTr="004A670D">
        <w:trPr>
          <w:trHeight w:hRule="exact" w:val="316"/>
        </w:trPr>
        <w:tc>
          <w:tcPr>
            <w:tcW w:w="3694" w:type="dxa"/>
            <w:tcBorders>
              <w:top w:val="nil"/>
              <w:left w:val="nil"/>
              <w:bottom w:val="nil"/>
              <w:right w:val="nil"/>
            </w:tcBorders>
            <w:tcMar>
              <w:top w:w="15" w:type="dxa"/>
              <w:left w:w="108" w:type="dxa"/>
              <w:bottom w:w="0" w:type="dxa"/>
              <w:right w:w="108" w:type="dxa"/>
            </w:tcMar>
            <w:vAlign w:val="center"/>
            <w:hideMark/>
          </w:tcPr>
          <w:p w14:paraId="1DC7F537"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LA</w:t>
            </w:r>
          </w:p>
        </w:tc>
        <w:tc>
          <w:tcPr>
            <w:tcW w:w="1241" w:type="dxa"/>
            <w:tcBorders>
              <w:top w:val="nil"/>
              <w:left w:val="nil"/>
              <w:bottom w:val="nil"/>
              <w:right w:val="nil"/>
            </w:tcBorders>
            <w:tcMar>
              <w:top w:w="15" w:type="dxa"/>
              <w:left w:w="108" w:type="dxa"/>
              <w:bottom w:w="0" w:type="dxa"/>
              <w:right w:w="108" w:type="dxa"/>
            </w:tcMar>
            <w:vAlign w:val="center"/>
            <w:hideMark/>
          </w:tcPr>
          <w:p w14:paraId="1B170172"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9</w:t>
            </w:r>
          </w:p>
        </w:tc>
        <w:tc>
          <w:tcPr>
            <w:tcW w:w="1123" w:type="dxa"/>
            <w:tcBorders>
              <w:top w:val="nil"/>
              <w:left w:val="nil"/>
              <w:bottom w:val="nil"/>
              <w:right w:val="nil"/>
            </w:tcBorders>
            <w:tcMar>
              <w:top w:w="15" w:type="dxa"/>
              <w:left w:w="108" w:type="dxa"/>
              <w:bottom w:w="0" w:type="dxa"/>
              <w:right w:w="108" w:type="dxa"/>
            </w:tcMar>
            <w:vAlign w:val="center"/>
            <w:hideMark/>
          </w:tcPr>
          <w:p w14:paraId="5C9F2A4F"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1</w:t>
            </w:r>
          </w:p>
        </w:tc>
        <w:tc>
          <w:tcPr>
            <w:tcW w:w="1270" w:type="dxa"/>
            <w:tcBorders>
              <w:top w:val="nil"/>
              <w:left w:val="nil"/>
              <w:bottom w:val="nil"/>
              <w:right w:val="nil"/>
            </w:tcBorders>
            <w:tcMar>
              <w:top w:w="15" w:type="dxa"/>
              <w:left w:w="108" w:type="dxa"/>
              <w:bottom w:w="0" w:type="dxa"/>
              <w:right w:w="108" w:type="dxa"/>
            </w:tcMar>
            <w:vAlign w:val="center"/>
            <w:hideMark/>
          </w:tcPr>
          <w:p w14:paraId="612705DE"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w:t>
            </w:r>
          </w:p>
        </w:tc>
        <w:tc>
          <w:tcPr>
            <w:tcW w:w="1132" w:type="dxa"/>
            <w:tcBorders>
              <w:top w:val="nil"/>
              <w:left w:val="nil"/>
              <w:bottom w:val="nil"/>
              <w:right w:val="nil"/>
            </w:tcBorders>
            <w:tcMar>
              <w:top w:w="15" w:type="dxa"/>
              <w:left w:w="108" w:type="dxa"/>
              <w:bottom w:w="0" w:type="dxa"/>
              <w:right w:w="108" w:type="dxa"/>
            </w:tcMar>
            <w:vAlign w:val="center"/>
            <w:hideMark/>
          </w:tcPr>
          <w:p w14:paraId="31190871"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0.23</w:t>
            </w:r>
          </w:p>
        </w:tc>
      </w:tr>
      <w:tr w:rsidR="001926E1" w:rsidRPr="00730097" w14:paraId="79C7550D" w14:textId="77777777" w:rsidTr="004A670D">
        <w:trPr>
          <w:trHeight w:hRule="exact" w:val="316"/>
        </w:trPr>
        <w:tc>
          <w:tcPr>
            <w:tcW w:w="3694" w:type="dxa"/>
            <w:tcBorders>
              <w:top w:val="nil"/>
              <w:left w:val="nil"/>
              <w:bottom w:val="nil"/>
              <w:right w:val="nil"/>
            </w:tcBorders>
            <w:tcMar>
              <w:top w:w="15" w:type="dxa"/>
              <w:left w:w="108" w:type="dxa"/>
              <w:bottom w:w="0" w:type="dxa"/>
              <w:right w:w="108" w:type="dxa"/>
            </w:tcMar>
            <w:vAlign w:val="center"/>
            <w:hideMark/>
          </w:tcPr>
          <w:p w14:paraId="5C129C9C"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MS1</w:t>
            </w:r>
          </w:p>
        </w:tc>
        <w:tc>
          <w:tcPr>
            <w:tcW w:w="1241" w:type="dxa"/>
            <w:tcBorders>
              <w:top w:val="nil"/>
              <w:left w:val="nil"/>
              <w:bottom w:val="nil"/>
              <w:right w:val="nil"/>
            </w:tcBorders>
            <w:tcMar>
              <w:top w:w="15" w:type="dxa"/>
              <w:left w:w="108" w:type="dxa"/>
              <w:bottom w:w="0" w:type="dxa"/>
              <w:right w:w="108" w:type="dxa"/>
            </w:tcMar>
            <w:vAlign w:val="center"/>
            <w:hideMark/>
          </w:tcPr>
          <w:p w14:paraId="510EE490"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5</w:t>
            </w:r>
          </w:p>
        </w:tc>
        <w:tc>
          <w:tcPr>
            <w:tcW w:w="1123" w:type="dxa"/>
            <w:tcBorders>
              <w:top w:val="nil"/>
              <w:left w:val="nil"/>
              <w:bottom w:val="nil"/>
              <w:right w:val="nil"/>
            </w:tcBorders>
            <w:tcMar>
              <w:top w:w="15" w:type="dxa"/>
              <w:left w:w="108" w:type="dxa"/>
              <w:bottom w:w="0" w:type="dxa"/>
              <w:right w:w="108" w:type="dxa"/>
            </w:tcMar>
            <w:vAlign w:val="center"/>
            <w:hideMark/>
          </w:tcPr>
          <w:p w14:paraId="436344A0"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5</w:t>
            </w:r>
          </w:p>
        </w:tc>
        <w:tc>
          <w:tcPr>
            <w:tcW w:w="1270" w:type="dxa"/>
            <w:tcBorders>
              <w:top w:val="nil"/>
              <w:left w:val="nil"/>
              <w:bottom w:val="nil"/>
              <w:right w:val="nil"/>
            </w:tcBorders>
            <w:tcMar>
              <w:top w:w="15" w:type="dxa"/>
              <w:left w:w="108" w:type="dxa"/>
              <w:bottom w:w="0" w:type="dxa"/>
              <w:right w:w="108" w:type="dxa"/>
            </w:tcMar>
            <w:vAlign w:val="center"/>
            <w:hideMark/>
          </w:tcPr>
          <w:p w14:paraId="524C7F92"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w:t>
            </w:r>
          </w:p>
        </w:tc>
        <w:tc>
          <w:tcPr>
            <w:tcW w:w="1132" w:type="dxa"/>
            <w:tcBorders>
              <w:top w:val="nil"/>
              <w:left w:val="nil"/>
              <w:bottom w:val="nil"/>
              <w:right w:val="nil"/>
            </w:tcBorders>
            <w:tcMar>
              <w:top w:w="15" w:type="dxa"/>
              <w:left w:w="108" w:type="dxa"/>
              <w:bottom w:w="0" w:type="dxa"/>
              <w:right w:w="108" w:type="dxa"/>
            </w:tcMar>
            <w:vAlign w:val="center"/>
            <w:hideMark/>
          </w:tcPr>
          <w:p w14:paraId="5BC6EEE3"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0.16</w:t>
            </w:r>
          </w:p>
        </w:tc>
      </w:tr>
      <w:tr w:rsidR="001926E1" w:rsidRPr="00730097" w14:paraId="4B6B759D" w14:textId="77777777" w:rsidTr="004A670D">
        <w:trPr>
          <w:trHeight w:hRule="exact" w:val="316"/>
        </w:trPr>
        <w:tc>
          <w:tcPr>
            <w:tcW w:w="3694" w:type="dxa"/>
            <w:tcBorders>
              <w:top w:val="nil"/>
              <w:left w:val="nil"/>
              <w:bottom w:val="nil"/>
              <w:right w:val="nil"/>
            </w:tcBorders>
            <w:tcMar>
              <w:top w:w="15" w:type="dxa"/>
              <w:left w:w="108" w:type="dxa"/>
              <w:bottom w:w="0" w:type="dxa"/>
              <w:right w:w="108" w:type="dxa"/>
            </w:tcMar>
            <w:vAlign w:val="center"/>
            <w:hideMark/>
          </w:tcPr>
          <w:p w14:paraId="6F16C4B6"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MS2</w:t>
            </w:r>
          </w:p>
        </w:tc>
        <w:tc>
          <w:tcPr>
            <w:tcW w:w="1241" w:type="dxa"/>
            <w:tcBorders>
              <w:top w:val="nil"/>
              <w:left w:val="nil"/>
              <w:bottom w:val="nil"/>
              <w:right w:val="nil"/>
            </w:tcBorders>
            <w:tcMar>
              <w:top w:w="15" w:type="dxa"/>
              <w:left w:w="108" w:type="dxa"/>
              <w:bottom w:w="0" w:type="dxa"/>
              <w:right w:w="108" w:type="dxa"/>
            </w:tcMar>
            <w:vAlign w:val="center"/>
            <w:hideMark/>
          </w:tcPr>
          <w:p w14:paraId="57857706"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7</w:t>
            </w:r>
          </w:p>
        </w:tc>
        <w:tc>
          <w:tcPr>
            <w:tcW w:w="1123" w:type="dxa"/>
            <w:tcBorders>
              <w:top w:val="nil"/>
              <w:left w:val="nil"/>
              <w:bottom w:val="nil"/>
              <w:right w:val="nil"/>
            </w:tcBorders>
            <w:tcMar>
              <w:top w:w="15" w:type="dxa"/>
              <w:left w:w="108" w:type="dxa"/>
              <w:bottom w:w="0" w:type="dxa"/>
              <w:right w:w="108" w:type="dxa"/>
            </w:tcMar>
            <w:vAlign w:val="center"/>
            <w:hideMark/>
          </w:tcPr>
          <w:p w14:paraId="3633F33A"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3</w:t>
            </w:r>
          </w:p>
        </w:tc>
        <w:tc>
          <w:tcPr>
            <w:tcW w:w="1270" w:type="dxa"/>
            <w:tcBorders>
              <w:top w:val="nil"/>
              <w:left w:val="nil"/>
              <w:bottom w:val="nil"/>
              <w:right w:val="nil"/>
            </w:tcBorders>
            <w:tcMar>
              <w:top w:w="15" w:type="dxa"/>
              <w:left w:w="108" w:type="dxa"/>
              <w:bottom w:w="0" w:type="dxa"/>
              <w:right w:w="108" w:type="dxa"/>
            </w:tcMar>
            <w:vAlign w:val="center"/>
            <w:hideMark/>
          </w:tcPr>
          <w:p w14:paraId="0206CDF1"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w:t>
            </w:r>
          </w:p>
        </w:tc>
        <w:tc>
          <w:tcPr>
            <w:tcW w:w="1132" w:type="dxa"/>
            <w:tcBorders>
              <w:top w:val="nil"/>
              <w:left w:val="nil"/>
              <w:bottom w:val="nil"/>
              <w:right w:val="nil"/>
            </w:tcBorders>
            <w:tcMar>
              <w:top w:w="15" w:type="dxa"/>
              <w:left w:w="108" w:type="dxa"/>
              <w:bottom w:w="0" w:type="dxa"/>
              <w:right w:w="108" w:type="dxa"/>
            </w:tcMar>
            <w:vAlign w:val="center"/>
            <w:hideMark/>
          </w:tcPr>
          <w:p w14:paraId="5A17502B"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w:t>
            </w:r>
          </w:p>
        </w:tc>
      </w:tr>
      <w:tr w:rsidR="001926E1" w:rsidRPr="00730097" w14:paraId="71255927" w14:textId="77777777" w:rsidTr="004A670D">
        <w:trPr>
          <w:trHeight w:hRule="exact" w:val="316"/>
        </w:trPr>
        <w:tc>
          <w:tcPr>
            <w:tcW w:w="3694" w:type="dxa"/>
            <w:tcBorders>
              <w:top w:val="nil"/>
              <w:left w:val="nil"/>
              <w:bottom w:val="nil"/>
              <w:right w:val="nil"/>
            </w:tcBorders>
            <w:tcMar>
              <w:top w:w="15" w:type="dxa"/>
              <w:left w:w="108" w:type="dxa"/>
              <w:bottom w:w="0" w:type="dxa"/>
              <w:right w:w="108" w:type="dxa"/>
            </w:tcMar>
            <w:vAlign w:val="center"/>
            <w:hideMark/>
          </w:tcPr>
          <w:p w14:paraId="748BD968"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PR21</w:t>
            </w:r>
          </w:p>
        </w:tc>
        <w:tc>
          <w:tcPr>
            <w:tcW w:w="1241" w:type="dxa"/>
            <w:tcBorders>
              <w:top w:val="nil"/>
              <w:left w:val="nil"/>
              <w:bottom w:val="nil"/>
              <w:right w:val="nil"/>
            </w:tcBorders>
            <w:tcMar>
              <w:top w:w="15" w:type="dxa"/>
              <w:left w:w="108" w:type="dxa"/>
              <w:bottom w:w="0" w:type="dxa"/>
              <w:right w:w="108" w:type="dxa"/>
            </w:tcMar>
            <w:vAlign w:val="center"/>
            <w:hideMark/>
          </w:tcPr>
          <w:p w14:paraId="34204EA9"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7</w:t>
            </w:r>
          </w:p>
        </w:tc>
        <w:tc>
          <w:tcPr>
            <w:tcW w:w="1123" w:type="dxa"/>
            <w:tcBorders>
              <w:top w:val="nil"/>
              <w:left w:val="nil"/>
              <w:bottom w:val="nil"/>
              <w:right w:val="nil"/>
            </w:tcBorders>
            <w:tcMar>
              <w:top w:w="15" w:type="dxa"/>
              <w:left w:w="108" w:type="dxa"/>
              <w:bottom w:w="0" w:type="dxa"/>
              <w:right w:w="108" w:type="dxa"/>
            </w:tcMar>
            <w:vAlign w:val="center"/>
            <w:hideMark/>
          </w:tcPr>
          <w:p w14:paraId="5676882E"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84</w:t>
            </w:r>
          </w:p>
        </w:tc>
        <w:tc>
          <w:tcPr>
            <w:tcW w:w="1270" w:type="dxa"/>
            <w:tcBorders>
              <w:top w:val="nil"/>
              <w:left w:val="nil"/>
              <w:bottom w:val="nil"/>
              <w:right w:val="nil"/>
            </w:tcBorders>
            <w:tcMar>
              <w:top w:w="15" w:type="dxa"/>
              <w:left w:w="108" w:type="dxa"/>
              <w:bottom w:w="0" w:type="dxa"/>
              <w:right w:w="108" w:type="dxa"/>
            </w:tcMar>
            <w:vAlign w:val="center"/>
            <w:hideMark/>
          </w:tcPr>
          <w:p w14:paraId="1C531DF0"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115</w:t>
            </w:r>
          </w:p>
        </w:tc>
        <w:tc>
          <w:tcPr>
            <w:tcW w:w="1132" w:type="dxa"/>
            <w:tcBorders>
              <w:top w:val="nil"/>
              <w:left w:val="nil"/>
              <w:bottom w:val="nil"/>
              <w:right w:val="nil"/>
            </w:tcBorders>
            <w:tcMar>
              <w:top w:w="15" w:type="dxa"/>
              <w:left w:w="108" w:type="dxa"/>
              <w:bottom w:w="0" w:type="dxa"/>
              <w:right w:w="108" w:type="dxa"/>
            </w:tcMar>
            <w:vAlign w:val="center"/>
            <w:hideMark/>
          </w:tcPr>
          <w:p w14:paraId="3BB02FC4"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0.88</w:t>
            </w:r>
          </w:p>
        </w:tc>
      </w:tr>
      <w:tr w:rsidR="001926E1" w:rsidRPr="00730097" w14:paraId="75C797B7" w14:textId="77777777" w:rsidTr="004A670D">
        <w:trPr>
          <w:trHeight w:hRule="exact" w:val="316"/>
        </w:trPr>
        <w:tc>
          <w:tcPr>
            <w:tcW w:w="3694" w:type="dxa"/>
            <w:tcBorders>
              <w:top w:val="nil"/>
              <w:left w:val="nil"/>
              <w:bottom w:val="nil"/>
              <w:right w:val="nil"/>
            </w:tcBorders>
            <w:tcMar>
              <w:top w:w="15" w:type="dxa"/>
              <w:left w:w="108" w:type="dxa"/>
              <w:bottom w:w="0" w:type="dxa"/>
              <w:right w:w="108" w:type="dxa"/>
            </w:tcMar>
            <w:vAlign w:val="center"/>
            <w:hideMark/>
          </w:tcPr>
          <w:p w14:paraId="40DA1D09"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PR24 (P1)</w:t>
            </w:r>
          </w:p>
        </w:tc>
        <w:tc>
          <w:tcPr>
            <w:tcW w:w="1241" w:type="dxa"/>
            <w:tcBorders>
              <w:top w:val="nil"/>
              <w:left w:val="nil"/>
              <w:bottom w:val="nil"/>
              <w:right w:val="nil"/>
            </w:tcBorders>
            <w:tcMar>
              <w:top w:w="15" w:type="dxa"/>
              <w:left w:w="108" w:type="dxa"/>
              <w:bottom w:w="0" w:type="dxa"/>
              <w:right w:w="108" w:type="dxa"/>
            </w:tcMar>
            <w:vAlign w:val="center"/>
            <w:hideMark/>
          </w:tcPr>
          <w:p w14:paraId="0A98C375"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3</w:t>
            </w:r>
          </w:p>
        </w:tc>
        <w:tc>
          <w:tcPr>
            <w:tcW w:w="1123" w:type="dxa"/>
            <w:tcBorders>
              <w:top w:val="nil"/>
              <w:left w:val="nil"/>
              <w:bottom w:val="nil"/>
              <w:right w:val="nil"/>
            </w:tcBorders>
            <w:tcMar>
              <w:top w:w="15" w:type="dxa"/>
              <w:left w:w="108" w:type="dxa"/>
              <w:bottom w:w="0" w:type="dxa"/>
              <w:right w:w="108" w:type="dxa"/>
            </w:tcMar>
            <w:vAlign w:val="center"/>
            <w:hideMark/>
          </w:tcPr>
          <w:p w14:paraId="218F032C"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1</w:t>
            </w:r>
          </w:p>
        </w:tc>
        <w:tc>
          <w:tcPr>
            <w:tcW w:w="1270" w:type="dxa"/>
            <w:tcBorders>
              <w:top w:val="nil"/>
              <w:left w:val="nil"/>
              <w:bottom w:val="nil"/>
              <w:right w:val="nil"/>
            </w:tcBorders>
            <w:tcMar>
              <w:top w:w="15" w:type="dxa"/>
              <w:left w:w="108" w:type="dxa"/>
              <w:bottom w:w="0" w:type="dxa"/>
              <w:right w:w="108" w:type="dxa"/>
            </w:tcMar>
            <w:vAlign w:val="center"/>
            <w:hideMark/>
          </w:tcPr>
          <w:p w14:paraId="06797426"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5</w:t>
            </w:r>
          </w:p>
        </w:tc>
        <w:tc>
          <w:tcPr>
            <w:tcW w:w="1132" w:type="dxa"/>
            <w:tcBorders>
              <w:top w:val="nil"/>
              <w:left w:val="nil"/>
              <w:bottom w:val="nil"/>
              <w:right w:val="nil"/>
            </w:tcBorders>
            <w:tcMar>
              <w:top w:w="15" w:type="dxa"/>
              <w:left w:w="108" w:type="dxa"/>
              <w:bottom w:w="0" w:type="dxa"/>
              <w:right w:w="108" w:type="dxa"/>
            </w:tcMar>
            <w:vAlign w:val="center"/>
            <w:hideMark/>
          </w:tcPr>
          <w:p w14:paraId="7C697C04"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w:t>
            </w:r>
          </w:p>
        </w:tc>
      </w:tr>
      <w:tr w:rsidR="001926E1" w:rsidRPr="00730097" w14:paraId="35263333" w14:textId="77777777" w:rsidTr="004A670D">
        <w:trPr>
          <w:trHeight w:hRule="exact" w:val="316"/>
        </w:trPr>
        <w:tc>
          <w:tcPr>
            <w:tcW w:w="3694" w:type="dxa"/>
            <w:tcBorders>
              <w:top w:val="nil"/>
              <w:left w:val="nil"/>
              <w:bottom w:val="single" w:sz="8" w:space="0" w:color="000000"/>
              <w:right w:val="nil"/>
            </w:tcBorders>
            <w:tcMar>
              <w:top w:w="15" w:type="dxa"/>
              <w:left w:w="108" w:type="dxa"/>
              <w:bottom w:w="0" w:type="dxa"/>
              <w:right w:w="108" w:type="dxa"/>
            </w:tcMar>
            <w:vAlign w:val="center"/>
            <w:hideMark/>
          </w:tcPr>
          <w:p w14:paraId="051447D6"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PR24mix (F2)</w:t>
            </w:r>
          </w:p>
        </w:tc>
        <w:tc>
          <w:tcPr>
            <w:tcW w:w="1241" w:type="dxa"/>
            <w:tcBorders>
              <w:top w:val="nil"/>
              <w:left w:val="nil"/>
              <w:bottom w:val="single" w:sz="8" w:space="0" w:color="000000"/>
              <w:right w:val="nil"/>
            </w:tcBorders>
            <w:tcMar>
              <w:top w:w="15" w:type="dxa"/>
              <w:left w:w="108" w:type="dxa"/>
              <w:bottom w:w="0" w:type="dxa"/>
              <w:right w:w="108" w:type="dxa"/>
            </w:tcMar>
            <w:vAlign w:val="center"/>
            <w:hideMark/>
          </w:tcPr>
          <w:p w14:paraId="7614960F"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 xml:space="preserve">0        </w:t>
            </w:r>
          </w:p>
        </w:tc>
        <w:tc>
          <w:tcPr>
            <w:tcW w:w="1123" w:type="dxa"/>
            <w:tcBorders>
              <w:top w:val="nil"/>
              <w:left w:val="nil"/>
              <w:bottom w:val="single" w:sz="8" w:space="0" w:color="000000"/>
              <w:right w:val="nil"/>
            </w:tcBorders>
            <w:tcMar>
              <w:top w:w="15" w:type="dxa"/>
              <w:left w:w="108" w:type="dxa"/>
              <w:bottom w:w="0" w:type="dxa"/>
              <w:right w:w="108" w:type="dxa"/>
            </w:tcMar>
            <w:vAlign w:val="center"/>
            <w:hideMark/>
          </w:tcPr>
          <w:p w14:paraId="0ECDBBEE"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 xml:space="preserve">15  </w:t>
            </w:r>
          </w:p>
        </w:tc>
        <w:tc>
          <w:tcPr>
            <w:tcW w:w="1270" w:type="dxa"/>
            <w:tcBorders>
              <w:top w:val="nil"/>
              <w:left w:val="nil"/>
              <w:bottom w:val="single" w:sz="8" w:space="0" w:color="000000"/>
              <w:right w:val="nil"/>
            </w:tcBorders>
            <w:tcMar>
              <w:top w:w="15" w:type="dxa"/>
              <w:left w:w="108" w:type="dxa"/>
              <w:bottom w:w="0" w:type="dxa"/>
              <w:right w:w="108" w:type="dxa"/>
            </w:tcMar>
            <w:vAlign w:val="center"/>
            <w:hideMark/>
          </w:tcPr>
          <w:p w14:paraId="05AF6451"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5</w:t>
            </w:r>
          </w:p>
        </w:tc>
        <w:tc>
          <w:tcPr>
            <w:tcW w:w="1132" w:type="dxa"/>
            <w:tcBorders>
              <w:top w:val="nil"/>
              <w:left w:val="nil"/>
              <w:bottom w:val="single" w:sz="8" w:space="0" w:color="000000"/>
              <w:right w:val="nil"/>
            </w:tcBorders>
            <w:tcMar>
              <w:top w:w="15" w:type="dxa"/>
              <w:left w:w="108" w:type="dxa"/>
              <w:bottom w:w="0" w:type="dxa"/>
              <w:right w:w="108" w:type="dxa"/>
            </w:tcMar>
            <w:vAlign w:val="center"/>
            <w:hideMark/>
          </w:tcPr>
          <w:p w14:paraId="34A83C83" w14:textId="77777777" w:rsidR="001926E1" w:rsidRPr="00730097" w:rsidRDefault="001926E1" w:rsidP="004A670D">
            <w:pPr>
              <w:rPr>
                <w:rFonts w:ascii="Times New Roman" w:eastAsia="Aptos" w:hAnsi="Times New Roman" w:cs="Times New Roman"/>
                <w:kern w:val="2"/>
                <w:lang w:eastAsia="en-US"/>
                <w14:ligatures w14:val="standardContextual"/>
              </w:rPr>
            </w:pPr>
            <w:r w:rsidRPr="00730097">
              <w:rPr>
                <w:rFonts w:ascii="Times New Roman" w:eastAsia="Aptos" w:hAnsi="Times New Roman" w:cs="Times New Roman"/>
                <w:kern w:val="2"/>
                <w:lang w:eastAsia="en-US"/>
                <w14:ligatures w14:val="standardContextual"/>
              </w:rPr>
              <w:t>0.12</w:t>
            </w:r>
          </w:p>
        </w:tc>
      </w:tr>
    </w:tbl>
    <w:p w14:paraId="1586FB8E" w14:textId="77777777" w:rsidR="001926E1" w:rsidRPr="00730097" w:rsidRDefault="001926E1" w:rsidP="001926E1">
      <w:pPr>
        <w:spacing w:after="0" w:line="480" w:lineRule="auto"/>
        <w:jc w:val="both"/>
        <w:rPr>
          <w:rFonts w:ascii="Times New Roman" w:eastAsia="Calibri" w:hAnsi="Times New Roman" w:cs="Times New Roman"/>
          <w:kern w:val="24"/>
          <w:lang w:eastAsia="en-US"/>
        </w:rPr>
      </w:pPr>
    </w:p>
    <w:p w14:paraId="54E7FA00" w14:textId="77777777" w:rsidR="001926E1" w:rsidRPr="00CE2F24" w:rsidRDefault="001926E1" w:rsidP="001926E1">
      <w:pPr>
        <w:widowControl w:val="0"/>
        <w:spacing w:after="120" w:line="276" w:lineRule="auto"/>
        <w:contextualSpacing/>
        <w:rPr>
          <w:rFonts w:ascii="Times New Roman" w:eastAsia="MS Mincho" w:hAnsi="Times New Roman" w:cs="Times New Roman"/>
          <w:lang w:eastAsia="ja-JP"/>
        </w:rPr>
      </w:pPr>
    </w:p>
    <w:p w14:paraId="626EBC06" w14:textId="77777777" w:rsidR="001926E1" w:rsidRPr="00CE2F24" w:rsidRDefault="001926E1" w:rsidP="001926E1">
      <w:pPr>
        <w:spacing w:after="120" w:line="276" w:lineRule="auto"/>
        <w:rPr>
          <w:rFonts w:ascii="Times New Roman" w:hAnsi="Times New Roman" w:cs="Times New Roman"/>
        </w:rPr>
      </w:pPr>
      <w:r w:rsidRPr="00CE2F24">
        <w:rPr>
          <w:rFonts w:ascii="Times New Roman" w:hAnsi="Times New Roman" w:cs="Times New Roman"/>
          <w:b/>
          <w:bCs/>
        </w:rPr>
        <w:t xml:space="preserve">Table </w:t>
      </w:r>
      <w:r>
        <w:rPr>
          <w:rFonts w:ascii="Times New Roman" w:hAnsi="Times New Roman" w:cs="Times New Roman"/>
          <w:b/>
          <w:bCs/>
        </w:rPr>
        <w:t>4</w:t>
      </w:r>
      <w:r w:rsidRPr="00CE2F24">
        <w:rPr>
          <w:rFonts w:ascii="Times New Roman" w:hAnsi="Times New Roman" w:cs="Times New Roman"/>
          <w:b/>
          <w:bCs/>
        </w:rPr>
        <w:t>.</w:t>
      </w:r>
      <w:r w:rsidRPr="00CE2F24">
        <w:rPr>
          <w:rFonts w:ascii="Times New Roman" w:hAnsi="Times New Roman" w:cs="Times New Roman"/>
        </w:rPr>
        <w:t xml:space="preserve"> List of detoxification genes that were upregulated in the soybean looper larvae upon feeding on 0.1 ppm chlorantraniliprole.</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2120"/>
        <w:gridCol w:w="1505"/>
        <w:gridCol w:w="4140"/>
      </w:tblGrid>
      <w:tr w:rsidR="001926E1" w:rsidRPr="00CE2F24" w14:paraId="3D6D62D7" w14:textId="77777777" w:rsidTr="004A670D">
        <w:trPr>
          <w:trHeight w:val="402"/>
        </w:trPr>
        <w:tc>
          <w:tcPr>
            <w:tcW w:w="1549" w:type="dxa"/>
            <w:tcBorders>
              <w:top w:val="single" w:sz="8" w:space="0" w:color="auto"/>
              <w:bottom w:val="single" w:sz="8" w:space="0" w:color="auto"/>
            </w:tcBorders>
            <w:noWrap/>
            <w:vAlign w:val="center"/>
            <w:hideMark/>
          </w:tcPr>
          <w:p w14:paraId="4D300CD8" w14:textId="77777777" w:rsidR="001926E1" w:rsidRPr="00CE2F24" w:rsidRDefault="001926E1" w:rsidP="004A670D">
            <w:pPr>
              <w:spacing w:after="120" w:line="276" w:lineRule="auto"/>
              <w:rPr>
                <w:rFonts w:ascii="Times New Roman" w:hAnsi="Times New Roman" w:cs="Times New Roman"/>
                <w:b/>
                <w:bCs/>
              </w:rPr>
            </w:pPr>
            <w:r w:rsidRPr="00CE2F24">
              <w:rPr>
                <w:rFonts w:ascii="Times New Roman" w:hAnsi="Times New Roman" w:cs="Times New Roman"/>
                <w:b/>
                <w:bCs/>
              </w:rPr>
              <w:t>Expression rank</w:t>
            </w:r>
          </w:p>
        </w:tc>
        <w:tc>
          <w:tcPr>
            <w:tcW w:w="2120" w:type="dxa"/>
            <w:tcBorders>
              <w:top w:val="single" w:sz="8" w:space="0" w:color="auto"/>
              <w:bottom w:val="single" w:sz="8" w:space="0" w:color="auto"/>
            </w:tcBorders>
            <w:noWrap/>
            <w:vAlign w:val="center"/>
            <w:hideMark/>
          </w:tcPr>
          <w:p w14:paraId="47698C11" w14:textId="77777777" w:rsidR="001926E1" w:rsidRPr="00CE2F24" w:rsidRDefault="001926E1" w:rsidP="004A670D">
            <w:pPr>
              <w:spacing w:after="120" w:line="276" w:lineRule="auto"/>
              <w:rPr>
                <w:rFonts w:ascii="Times New Roman" w:hAnsi="Times New Roman" w:cs="Times New Roman"/>
                <w:b/>
                <w:bCs/>
              </w:rPr>
            </w:pPr>
            <w:r w:rsidRPr="00CE2F24">
              <w:rPr>
                <w:rFonts w:ascii="Times New Roman" w:hAnsi="Times New Roman" w:cs="Times New Roman"/>
                <w:b/>
                <w:bCs/>
              </w:rPr>
              <w:t>Expression level (fold change)</w:t>
            </w:r>
          </w:p>
        </w:tc>
        <w:tc>
          <w:tcPr>
            <w:tcW w:w="1505" w:type="dxa"/>
            <w:tcBorders>
              <w:top w:val="single" w:sz="8" w:space="0" w:color="auto"/>
              <w:bottom w:val="single" w:sz="8" w:space="0" w:color="auto"/>
            </w:tcBorders>
            <w:noWrap/>
            <w:vAlign w:val="center"/>
            <w:hideMark/>
          </w:tcPr>
          <w:p w14:paraId="372F3A99" w14:textId="77777777" w:rsidR="001926E1" w:rsidRPr="00CE2F24" w:rsidRDefault="001926E1" w:rsidP="004A670D">
            <w:pPr>
              <w:spacing w:after="120" w:line="276" w:lineRule="auto"/>
              <w:rPr>
                <w:rFonts w:ascii="Times New Roman" w:hAnsi="Times New Roman" w:cs="Times New Roman"/>
                <w:b/>
                <w:bCs/>
              </w:rPr>
            </w:pPr>
            <w:r w:rsidRPr="00CE2F24">
              <w:rPr>
                <w:rFonts w:ascii="Times New Roman" w:hAnsi="Times New Roman" w:cs="Times New Roman"/>
                <w:b/>
                <w:bCs/>
              </w:rPr>
              <w:t>Gene length (bp)</w:t>
            </w:r>
          </w:p>
        </w:tc>
        <w:tc>
          <w:tcPr>
            <w:tcW w:w="4140" w:type="dxa"/>
            <w:tcBorders>
              <w:top w:val="single" w:sz="8" w:space="0" w:color="auto"/>
              <w:bottom w:val="single" w:sz="8" w:space="0" w:color="auto"/>
            </w:tcBorders>
            <w:noWrap/>
            <w:vAlign w:val="center"/>
            <w:hideMark/>
          </w:tcPr>
          <w:p w14:paraId="29E7D1EE" w14:textId="77777777" w:rsidR="001926E1" w:rsidRPr="00CE2F24" w:rsidRDefault="001926E1" w:rsidP="004A670D">
            <w:pPr>
              <w:spacing w:after="120" w:line="276" w:lineRule="auto"/>
              <w:rPr>
                <w:rFonts w:ascii="Times New Roman" w:hAnsi="Times New Roman" w:cs="Times New Roman"/>
                <w:b/>
                <w:bCs/>
              </w:rPr>
            </w:pPr>
            <w:r w:rsidRPr="00CE2F24">
              <w:rPr>
                <w:rFonts w:ascii="Times New Roman" w:hAnsi="Times New Roman" w:cs="Times New Roman"/>
                <w:b/>
                <w:bCs/>
              </w:rPr>
              <w:t>Gene description</w:t>
            </w:r>
          </w:p>
        </w:tc>
      </w:tr>
      <w:tr w:rsidR="001926E1" w:rsidRPr="00CE2F24" w14:paraId="151FF45A" w14:textId="77777777" w:rsidTr="004A670D">
        <w:trPr>
          <w:trHeight w:val="402"/>
        </w:trPr>
        <w:tc>
          <w:tcPr>
            <w:tcW w:w="1549" w:type="dxa"/>
            <w:tcBorders>
              <w:top w:val="single" w:sz="8" w:space="0" w:color="auto"/>
            </w:tcBorders>
            <w:noWrap/>
            <w:vAlign w:val="center"/>
            <w:hideMark/>
          </w:tcPr>
          <w:p w14:paraId="2875A19B"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w:t>
            </w:r>
          </w:p>
        </w:tc>
        <w:tc>
          <w:tcPr>
            <w:tcW w:w="2120" w:type="dxa"/>
            <w:tcBorders>
              <w:top w:val="single" w:sz="8" w:space="0" w:color="auto"/>
            </w:tcBorders>
            <w:noWrap/>
            <w:vAlign w:val="center"/>
            <w:hideMark/>
          </w:tcPr>
          <w:p w14:paraId="43C5866F"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9.55</w:t>
            </w:r>
          </w:p>
        </w:tc>
        <w:tc>
          <w:tcPr>
            <w:tcW w:w="1505" w:type="dxa"/>
            <w:tcBorders>
              <w:top w:val="single" w:sz="8" w:space="0" w:color="auto"/>
            </w:tcBorders>
            <w:noWrap/>
            <w:vAlign w:val="center"/>
            <w:hideMark/>
          </w:tcPr>
          <w:p w14:paraId="0BC322F9"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1694</w:t>
            </w:r>
          </w:p>
        </w:tc>
        <w:tc>
          <w:tcPr>
            <w:tcW w:w="4140" w:type="dxa"/>
            <w:tcBorders>
              <w:top w:val="single" w:sz="8" w:space="0" w:color="auto"/>
            </w:tcBorders>
            <w:noWrap/>
            <w:vAlign w:val="center"/>
            <w:hideMark/>
          </w:tcPr>
          <w:p w14:paraId="58216B58"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cytochrome P450 9e2-like</w:t>
            </w:r>
          </w:p>
        </w:tc>
      </w:tr>
      <w:tr w:rsidR="001926E1" w:rsidRPr="00CE2F24" w14:paraId="3414C03C" w14:textId="77777777" w:rsidTr="004A670D">
        <w:trPr>
          <w:trHeight w:val="402"/>
        </w:trPr>
        <w:tc>
          <w:tcPr>
            <w:tcW w:w="1549" w:type="dxa"/>
            <w:noWrap/>
            <w:vAlign w:val="center"/>
            <w:hideMark/>
          </w:tcPr>
          <w:p w14:paraId="05EDCAF5"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2</w:t>
            </w:r>
          </w:p>
        </w:tc>
        <w:tc>
          <w:tcPr>
            <w:tcW w:w="2120" w:type="dxa"/>
            <w:noWrap/>
            <w:vAlign w:val="center"/>
            <w:hideMark/>
          </w:tcPr>
          <w:p w14:paraId="0E8FDD91"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5.64</w:t>
            </w:r>
          </w:p>
        </w:tc>
        <w:tc>
          <w:tcPr>
            <w:tcW w:w="1505" w:type="dxa"/>
            <w:noWrap/>
            <w:vAlign w:val="center"/>
            <w:hideMark/>
          </w:tcPr>
          <w:p w14:paraId="4033BEDF"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1759</w:t>
            </w:r>
          </w:p>
        </w:tc>
        <w:tc>
          <w:tcPr>
            <w:tcW w:w="4140" w:type="dxa"/>
            <w:noWrap/>
            <w:vAlign w:val="center"/>
            <w:hideMark/>
          </w:tcPr>
          <w:p w14:paraId="1C2E3786"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cytochrome P450 6a14</w:t>
            </w:r>
          </w:p>
        </w:tc>
      </w:tr>
      <w:tr w:rsidR="001926E1" w:rsidRPr="00CE2F24" w14:paraId="1981CFB0" w14:textId="77777777" w:rsidTr="004A670D">
        <w:trPr>
          <w:trHeight w:val="402"/>
        </w:trPr>
        <w:tc>
          <w:tcPr>
            <w:tcW w:w="1549" w:type="dxa"/>
            <w:noWrap/>
            <w:vAlign w:val="center"/>
            <w:hideMark/>
          </w:tcPr>
          <w:p w14:paraId="1B1F8C40"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3</w:t>
            </w:r>
          </w:p>
        </w:tc>
        <w:tc>
          <w:tcPr>
            <w:tcW w:w="2120" w:type="dxa"/>
            <w:noWrap/>
            <w:vAlign w:val="center"/>
            <w:hideMark/>
          </w:tcPr>
          <w:p w14:paraId="24542D8C"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4.66</w:t>
            </w:r>
          </w:p>
        </w:tc>
        <w:tc>
          <w:tcPr>
            <w:tcW w:w="1505" w:type="dxa"/>
            <w:noWrap/>
            <w:vAlign w:val="center"/>
            <w:hideMark/>
          </w:tcPr>
          <w:p w14:paraId="4C641379"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2942</w:t>
            </w:r>
          </w:p>
        </w:tc>
        <w:tc>
          <w:tcPr>
            <w:tcW w:w="4140" w:type="dxa"/>
            <w:noWrap/>
            <w:vAlign w:val="center"/>
            <w:hideMark/>
          </w:tcPr>
          <w:p w14:paraId="364BEAF7"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cytochrome P450 6B1-like</w:t>
            </w:r>
          </w:p>
        </w:tc>
      </w:tr>
      <w:tr w:rsidR="001926E1" w:rsidRPr="00CE2F24" w14:paraId="6D53BF00" w14:textId="77777777" w:rsidTr="004A670D">
        <w:trPr>
          <w:trHeight w:val="402"/>
        </w:trPr>
        <w:tc>
          <w:tcPr>
            <w:tcW w:w="1549" w:type="dxa"/>
            <w:noWrap/>
            <w:vAlign w:val="center"/>
            <w:hideMark/>
          </w:tcPr>
          <w:p w14:paraId="24095121"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4</w:t>
            </w:r>
          </w:p>
        </w:tc>
        <w:tc>
          <w:tcPr>
            <w:tcW w:w="2120" w:type="dxa"/>
            <w:noWrap/>
            <w:vAlign w:val="center"/>
            <w:hideMark/>
          </w:tcPr>
          <w:p w14:paraId="147A2FB0"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3.68</w:t>
            </w:r>
          </w:p>
        </w:tc>
        <w:tc>
          <w:tcPr>
            <w:tcW w:w="1505" w:type="dxa"/>
            <w:noWrap/>
            <w:vAlign w:val="center"/>
            <w:hideMark/>
          </w:tcPr>
          <w:p w14:paraId="2E843E77"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334</w:t>
            </w:r>
          </w:p>
        </w:tc>
        <w:tc>
          <w:tcPr>
            <w:tcW w:w="4140" w:type="dxa"/>
            <w:noWrap/>
            <w:vAlign w:val="center"/>
            <w:hideMark/>
          </w:tcPr>
          <w:p w14:paraId="225D38AB"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cytochrome P450 9e2-like</w:t>
            </w:r>
          </w:p>
        </w:tc>
      </w:tr>
      <w:tr w:rsidR="001926E1" w:rsidRPr="00CE2F24" w14:paraId="43962E9F" w14:textId="77777777" w:rsidTr="004A670D">
        <w:trPr>
          <w:trHeight w:val="402"/>
        </w:trPr>
        <w:tc>
          <w:tcPr>
            <w:tcW w:w="1549" w:type="dxa"/>
            <w:noWrap/>
            <w:vAlign w:val="center"/>
            <w:hideMark/>
          </w:tcPr>
          <w:p w14:paraId="40D35CC2"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5</w:t>
            </w:r>
          </w:p>
        </w:tc>
        <w:tc>
          <w:tcPr>
            <w:tcW w:w="2120" w:type="dxa"/>
            <w:noWrap/>
            <w:vAlign w:val="center"/>
            <w:hideMark/>
          </w:tcPr>
          <w:p w14:paraId="079A5EC3"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3.35</w:t>
            </w:r>
          </w:p>
        </w:tc>
        <w:tc>
          <w:tcPr>
            <w:tcW w:w="1505" w:type="dxa"/>
            <w:noWrap/>
            <w:vAlign w:val="center"/>
            <w:hideMark/>
          </w:tcPr>
          <w:p w14:paraId="483221FA"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1365</w:t>
            </w:r>
          </w:p>
        </w:tc>
        <w:tc>
          <w:tcPr>
            <w:tcW w:w="4140" w:type="dxa"/>
            <w:noWrap/>
            <w:vAlign w:val="center"/>
            <w:hideMark/>
          </w:tcPr>
          <w:p w14:paraId="464E4412"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 xml:space="preserve">glutathione S-transferase 1-like </w:t>
            </w:r>
          </w:p>
        </w:tc>
      </w:tr>
      <w:tr w:rsidR="001926E1" w:rsidRPr="00CE2F24" w14:paraId="22FED9FB" w14:textId="77777777" w:rsidTr="004A670D">
        <w:trPr>
          <w:trHeight w:val="402"/>
        </w:trPr>
        <w:tc>
          <w:tcPr>
            <w:tcW w:w="1549" w:type="dxa"/>
            <w:noWrap/>
            <w:vAlign w:val="center"/>
            <w:hideMark/>
          </w:tcPr>
          <w:p w14:paraId="7387598F"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6</w:t>
            </w:r>
          </w:p>
        </w:tc>
        <w:tc>
          <w:tcPr>
            <w:tcW w:w="2120" w:type="dxa"/>
            <w:noWrap/>
            <w:vAlign w:val="center"/>
            <w:hideMark/>
          </w:tcPr>
          <w:p w14:paraId="2A83ADF3"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3.22</w:t>
            </w:r>
          </w:p>
        </w:tc>
        <w:tc>
          <w:tcPr>
            <w:tcW w:w="1505" w:type="dxa"/>
            <w:noWrap/>
            <w:vAlign w:val="center"/>
            <w:hideMark/>
          </w:tcPr>
          <w:p w14:paraId="18B50571"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1472</w:t>
            </w:r>
          </w:p>
        </w:tc>
        <w:tc>
          <w:tcPr>
            <w:tcW w:w="4140" w:type="dxa"/>
            <w:noWrap/>
            <w:vAlign w:val="center"/>
            <w:hideMark/>
          </w:tcPr>
          <w:p w14:paraId="739E826F"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cytochrome P450 9e2-like</w:t>
            </w:r>
          </w:p>
        </w:tc>
      </w:tr>
      <w:tr w:rsidR="001926E1" w:rsidRPr="00CE2F24" w14:paraId="01121669" w14:textId="77777777" w:rsidTr="004A670D">
        <w:trPr>
          <w:trHeight w:val="402"/>
        </w:trPr>
        <w:tc>
          <w:tcPr>
            <w:tcW w:w="1549" w:type="dxa"/>
            <w:noWrap/>
            <w:vAlign w:val="center"/>
            <w:hideMark/>
          </w:tcPr>
          <w:p w14:paraId="25FD3D30"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7</w:t>
            </w:r>
          </w:p>
        </w:tc>
        <w:tc>
          <w:tcPr>
            <w:tcW w:w="2120" w:type="dxa"/>
            <w:noWrap/>
            <w:vAlign w:val="center"/>
            <w:hideMark/>
          </w:tcPr>
          <w:p w14:paraId="7F212D74"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2.71</w:t>
            </w:r>
          </w:p>
        </w:tc>
        <w:tc>
          <w:tcPr>
            <w:tcW w:w="1505" w:type="dxa"/>
            <w:noWrap/>
            <w:vAlign w:val="center"/>
            <w:hideMark/>
          </w:tcPr>
          <w:p w14:paraId="36D9C53C"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952</w:t>
            </w:r>
          </w:p>
        </w:tc>
        <w:tc>
          <w:tcPr>
            <w:tcW w:w="4140" w:type="dxa"/>
            <w:noWrap/>
            <w:vAlign w:val="center"/>
            <w:hideMark/>
          </w:tcPr>
          <w:p w14:paraId="5B705FA5"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cytochrome P450 9e2-like</w:t>
            </w:r>
          </w:p>
        </w:tc>
      </w:tr>
      <w:tr w:rsidR="001926E1" w:rsidRPr="00CE2F24" w14:paraId="1D008BC9" w14:textId="77777777" w:rsidTr="004A670D">
        <w:trPr>
          <w:trHeight w:val="402"/>
        </w:trPr>
        <w:tc>
          <w:tcPr>
            <w:tcW w:w="1549" w:type="dxa"/>
            <w:noWrap/>
            <w:vAlign w:val="center"/>
            <w:hideMark/>
          </w:tcPr>
          <w:p w14:paraId="2DF268FA"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8</w:t>
            </w:r>
          </w:p>
        </w:tc>
        <w:tc>
          <w:tcPr>
            <w:tcW w:w="2120" w:type="dxa"/>
            <w:noWrap/>
            <w:vAlign w:val="center"/>
            <w:hideMark/>
          </w:tcPr>
          <w:p w14:paraId="47B20674"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2.39</w:t>
            </w:r>
          </w:p>
        </w:tc>
        <w:tc>
          <w:tcPr>
            <w:tcW w:w="1505" w:type="dxa"/>
            <w:noWrap/>
            <w:vAlign w:val="center"/>
            <w:hideMark/>
          </w:tcPr>
          <w:p w14:paraId="13AE67FF"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1574</w:t>
            </w:r>
          </w:p>
        </w:tc>
        <w:tc>
          <w:tcPr>
            <w:tcW w:w="4140" w:type="dxa"/>
            <w:noWrap/>
            <w:vAlign w:val="center"/>
            <w:hideMark/>
          </w:tcPr>
          <w:p w14:paraId="24D86752"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UDP-glucuronosyltransferase 2B15-like</w:t>
            </w:r>
          </w:p>
        </w:tc>
      </w:tr>
      <w:tr w:rsidR="001926E1" w:rsidRPr="00CE2F24" w14:paraId="32DE4DB0" w14:textId="77777777" w:rsidTr="004A670D">
        <w:trPr>
          <w:trHeight w:val="402"/>
        </w:trPr>
        <w:tc>
          <w:tcPr>
            <w:tcW w:w="1549" w:type="dxa"/>
            <w:noWrap/>
            <w:vAlign w:val="center"/>
            <w:hideMark/>
          </w:tcPr>
          <w:p w14:paraId="38FF4D13"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9</w:t>
            </w:r>
          </w:p>
        </w:tc>
        <w:tc>
          <w:tcPr>
            <w:tcW w:w="2120" w:type="dxa"/>
            <w:noWrap/>
            <w:vAlign w:val="center"/>
            <w:hideMark/>
          </w:tcPr>
          <w:p w14:paraId="353CAE71"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2.14</w:t>
            </w:r>
          </w:p>
        </w:tc>
        <w:tc>
          <w:tcPr>
            <w:tcW w:w="1505" w:type="dxa"/>
            <w:noWrap/>
            <w:vAlign w:val="center"/>
            <w:hideMark/>
          </w:tcPr>
          <w:p w14:paraId="73FCE509"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974</w:t>
            </w:r>
          </w:p>
        </w:tc>
        <w:tc>
          <w:tcPr>
            <w:tcW w:w="4140" w:type="dxa"/>
            <w:noWrap/>
            <w:vAlign w:val="center"/>
            <w:hideMark/>
          </w:tcPr>
          <w:p w14:paraId="47EB8F1E"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carboxylesterase B-1-like</w:t>
            </w:r>
          </w:p>
        </w:tc>
      </w:tr>
      <w:tr w:rsidR="001926E1" w:rsidRPr="00CE2F24" w14:paraId="069FAA8C" w14:textId="77777777" w:rsidTr="004A670D">
        <w:trPr>
          <w:trHeight w:val="402"/>
        </w:trPr>
        <w:tc>
          <w:tcPr>
            <w:tcW w:w="1549" w:type="dxa"/>
            <w:noWrap/>
            <w:vAlign w:val="center"/>
            <w:hideMark/>
          </w:tcPr>
          <w:p w14:paraId="15571FF9"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10</w:t>
            </w:r>
          </w:p>
        </w:tc>
        <w:tc>
          <w:tcPr>
            <w:tcW w:w="2120" w:type="dxa"/>
            <w:noWrap/>
            <w:vAlign w:val="center"/>
            <w:hideMark/>
          </w:tcPr>
          <w:p w14:paraId="4A724E6D"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2.06</w:t>
            </w:r>
          </w:p>
        </w:tc>
        <w:tc>
          <w:tcPr>
            <w:tcW w:w="1505" w:type="dxa"/>
            <w:noWrap/>
            <w:vAlign w:val="center"/>
            <w:hideMark/>
          </w:tcPr>
          <w:p w14:paraId="1E378391"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861</w:t>
            </w:r>
          </w:p>
        </w:tc>
        <w:tc>
          <w:tcPr>
            <w:tcW w:w="4140" w:type="dxa"/>
            <w:noWrap/>
            <w:vAlign w:val="center"/>
            <w:hideMark/>
          </w:tcPr>
          <w:p w14:paraId="52BF0E97"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glutathione S-transferase 1-like</w:t>
            </w:r>
          </w:p>
        </w:tc>
      </w:tr>
      <w:tr w:rsidR="001926E1" w:rsidRPr="00CE2F24" w14:paraId="4A23CC84" w14:textId="77777777" w:rsidTr="004A670D">
        <w:trPr>
          <w:trHeight w:val="402"/>
        </w:trPr>
        <w:tc>
          <w:tcPr>
            <w:tcW w:w="1549" w:type="dxa"/>
            <w:noWrap/>
            <w:vAlign w:val="center"/>
            <w:hideMark/>
          </w:tcPr>
          <w:p w14:paraId="365E81B8"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11</w:t>
            </w:r>
          </w:p>
        </w:tc>
        <w:tc>
          <w:tcPr>
            <w:tcW w:w="2120" w:type="dxa"/>
            <w:noWrap/>
            <w:vAlign w:val="center"/>
            <w:hideMark/>
          </w:tcPr>
          <w:p w14:paraId="62A346E9"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2.02</w:t>
            </w:r>
          </w:p>
        </w:tc>
        <w:tc>
          <w:tcPr>
            <w:tcW w:w="1505" w:type="dxa"/>
            <w:noWrap/>
            <w:vAlign w:val="center"/>
            <w:hideMark/>
          </w:tcPr>
          <w:p w14:paraId="2CE43508"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609</w:t>
            </w:r>
          </w:p>
        </w:tc>
        <w:tc>
          <w:tcPr>
            <w:tcW w:w="4140" w:type="dxa"/>
            <w:noWrap/>
            <w:vAlign w:val="center"/>
            <w:hideMark/>
          </w:tcPr>
          <w:p w14:paraId="49D34C52" w14:textId="77777777" w:rsidR="001926E1" w:rsidRPr="00CE2F24" w:rsidRDefault="001926E1" w:rsidP="004A670D">
            <w:pPr>
              <w:spacing w:after="120" w:line="276" w:lineRule="auto"/>
              <w:rPr>
                <w:rFonts w:ascii="Times New Roman" w:hAnsi="Times New Roman" w:cs="Times New Roman"/>
              </w:rPr>
            </w:pPr>
            <w:r w:rsidRPr="00CE2F24">
              <w:rPr>
                <w:rFonts w:ascii="Times New Roman" w:hAnsi="Times New Roman" w:cs="Times New Roman"/>
              </w:rPr>
              <w:t>glutathione S-transferase 1-like</w:t>
            </w:r>
          </w:p>
        </w:tc>
      </w:tr>
    </w:tbl>
    <w:p w14:paraId="5A69BEEA" w14:textId="77777777" w:rsidR="001926E1" w:rsidRPr="00CE2F24" w:rsidRDefault="001926E1" w:rsidP="001926E1">
      <w:pPr>
        <w:spacing w:after="120" w:line="276" w:lineRule="auto"/>
        <w:rPr>
          <w:rFonts w:ascii="Times New Roman" w:hAnsi="Times New Roman" w:cs="Times New Roman"/>
        </w:rPr>
      </w:pPr>
    </w:p>
    <w:p w14:paraId="044D9EE6" w14:textId="7A0BF979" w:rsidR="00D324F3" w:rsidRPr="000118C9" w:rsidRDefault="00D324F3" w:rsidP="000118C9">
      <w:pPr>
        <w:spacing w:after="120" w:line="276" w:lineRule="auto"/>
        <w:rPr>
          <w:rFonts w:ascii="Times New Roman" w:eastAsia="Times New Roman" w:hAnsi="Times New Roman" w:cs="Times New Roman"/>
          <w:b/>
          <w:lang w:eastAsia="en-US" w:bidi="en-US"/>
        </w:rPr>
      </w:pPr>
    </w:p>
    <w:sectPr w:rsidR="00D324F3" w:rsidRPr="000118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653EF"/>
    <w:multiLevelType w:val="multilevel"/>
    <w:tmpl w:val="22629362"/>
    <w:name w:val="Chapter"/>
    <w:styleLink w:val="Chapters"/>
    <w:lvl w:ilvl="0">
      <w:start w:val="1"/>
      <w:numFmt w:val="upperRoman"/>
      <w:pStyle w:val="ChapterNumber"/>
      <w:suff w:val="nothing"/>
      <w:lvlText w:val="CHAPTER %1"/>
      <w:lvlJc w:val="left"/>
      <w:pPr>
        <w:ind w:left="0"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C1st"/>
      <w:isLgl/>
      <w:lvlText w:val="%1.%2"/>
      <w:lvlJc w:val="left"/>
      <w:pPr>
        <w:ind w:left="720" w:hanging="720"/>
      </w:pPr>
      <w:rPr>
        <w:rFonts w:ascii="Times New Roman" w:hAnsi="Times New Roman" w:hint="default"/>
        <w:b/>
        <w:i w:val="0"/>
        <w:caps w:val="0"/>
        <w:strike w:val="0"/>
        <w:dstrike w:val="0"/>
        <w:vanish w:val="0"/>
        <w:sz w:val="24"/>
        <w:vertAlign w:val="baseline"/>
      </w:rPr>
    </w:lvl>
    <w:lvl w:ilvl="2">
      <w:start w:val="1"/>
      <w:numFmt w:val="decimal"/>
      <w:pStyle w:val="C2nd"/>
      <w:isLgl/>
      <w:lvlText w:val="%1.%2.%3"/>
      <w:lvlJc w:val="left"/>
      <w:pPr>
        <w:ind w:left="950" w:hanging="950"/>
      </w:pPr>
      <w:rPr>
        <w:rFonts w:ascii="Times New Roman" w:hAnsi="Times New Roman" w:hint="default"/>
        <w:b/>
        <w:i w:val="0"/>
        <w:caps w:val="0"/>
        <w:strike w:val="0"/>
        <w:dstrike w:val="0"/>
        <w:vanish w:val="0"/>
        <w:sz w:val="24"/>
        <w:vertAlign w:val="baseline"/>
      </w:rPr>
    </w:lvl>
    <w:lvl w:ilvl="3">
      <w:start w:val="1"/>
      <w:numFmt w:val="decimal"/>
      <w:pStyle w:val="C3rd"/>
      <w:isLgl/>
      <w:lvlText w:val="%1.%2.%3.%4"/>
      <w:lvlJc w:val="left"/>
      <w:pPr>
        <w:ind w:left="1166" w:hanging="1166"/>
      </w:pPr>
      <w:rPr>
        <w:rFonts w:ascii="Times New Roman" w:hAnsi="Times New Roman" w:hint="default"/>
        <w:b/>
        <w:i w:val="0"/>
        <w:caps w:val="0"/>
        <w:strike w:val="0"/>
        <w:dstrike w:val="0"/>
        <w:vanish w:val="0"/>
        <w:sz w:val="24"/>
        <w:vertAlign w:val="baseline"/>
      </w:rPr>
    </w:lvl>
    <w:lvl w:ilvl="4">
      <w:start w:val="1"/>
      <w:numFmt w:val="decimal"/>
      <w:pStyle w:val="C4th"/>
      <w:isLgl/>
      <w:lvlText w:val="%1.%2.%3.%4.%5"/>
      <w:lvlJc w:val="left"/>
      <w:pPr>
        <w:ind w:left="1440" w:hanging="1440"/>
      </w:pPr>
      <w:rPr>
        <w:rFonts w:ascii="Times New Roman" w:hAnsi="Times New Roman" w:hint="default"/>
        <w:b/>
        <w:i w:val="0"/>
        <w:caps w:val="0"/>
        <w:strike w:val="0"/>
        <w:dstrike w:val="0"/>
        <w:vanish w:val="0"/>
        <w:sz w:val="24"/>
        <w:vertAlign w:val="baseline"/>
      </w:rPr>
    </w:lvl>
    <w:lvl w:ilvl="5">
      <w:start w:val="1"/>
      <w:numFmt w:val="decimal"/>
      <w:pStyle w:val="C5th"/>
      <w:isLgl/>
      <w:lvlText w:val="%1.%2.%3.%4.%5.%6"/>
      <w:lvlJc w:val="left"/>
      <w:pPr>
        <w:ind w:left="1670" w:hanging="1670"/>
      </w:pPr>
      <w:rPr>
        <w:rFonts w:ascii="Times New Roman" w:hAnsi="Times New Roman" w:hint="default"/>
        <w:b/>
        <w:i w:val="0"/>
        <w:caps w:val="0"/>
        <w:strike w:val="0"/>
        <w:dstrike w:val="0"/>
        <w:vanish w:val="0"/>
        <w:sz w:val="24"/>
        <w:vertAlign w:val="baseline"/>
      </w:rPr>
    </w:lvl>
    <w:lvl w:ilvl="6">
      <w:start w:val="1"/>
      <w:numFmt w:val="decimal"/>
      <w:lvlRestart w:val="1"/>
      <w:pStyle w:val="TableTitle"/>
      <w:isLgl/>
      <w:lvlText w:val="Table %1.%7"/>
      <w:lvlJc w:val="left"/>
      <w:pPr>
        <w:ind w:left="1354" w:hanging="1354"/>
      </w:pPr>
      <w:rPr>
        <w:rFonts w:ascii="Times New Roman" w:hAnsi="Times New Roman" w:hint="default"/>
        <w:caps w:val="0"/>
        <w:strike w:val="0"/>
        <w:dstrike w:val="0"/>
        <w:vanish w:val="0"/>
        <w:sz w:val="24"/>
        <w:vertAlign w:val="baseline"/>
      </w:rPr>
    </w:lvl>
    <w:lvl w:ilvl="7">
      <w:start w:val="1"/>
      <w:numFmt w:val="decimal"/>
      <w:lvlRestart w:val="1"/>
      <w:pStyle w:val="FigureTitle"/>
      <w:isLgl/>
      <w:lvlText w:val="Figure %1.%8"/>
      <w:lvlJc w:val="left"/>
      <w:pPr>
        <w:ind w:left="3424" w:hanging="1354"/>
      </w:pPr>
      <w:rPr>
        <w:rFonts w:ascii="Times New Roman" w:hAnsi="Times New Roman" w:hint="default"/>
        <w:caps w:val="0"/>
        <w:strike w:val="0"/>
        <w:dstrike w:val="0"/>
        <w:vanish w:val="0"/>
        <w:sz w:val="24"/>
        <w:vertAlign w:val="baseline"/>
      </w:rPr>
    </w:lvl>
    <w:lvl w:ilvl="8">
      <w:start w:val="1"/>
      <w:numFmt w:val="decimal"/>
      <w:lvlRestart w:val="1"/>
      <w:isLgl/>
      <w:lvlText w:val="Scheme %1.%9"/>
      <w:lvlJc w:val="left"/>
      <w:pPr>
        <w:ind w:left="1440" w:hanging="1440"/>
      </w:pPr>
      <w:rPr>
        <w:rFonts w:ascii="Times New Roman" w:hAnsi="Times New Roman" w:hint="default"/>
        <w:b w:val="0"/>
        <w:i w:val="0"/>
        <w:caps w:val="0"/>
        <w:strike w:val="0"/>
        <w:dstrike w:val="0"/>
        <w:vanish w:val="0"/>
        <w:sz w:val="24"/>
        <w:vertAlign w:val="baseline"/>
      </w:rPr>
    </w:lvl>
  </w:abstractNum>
  <w:abstractNum w:abstractNumId="1" w15:restartNumberingAfterBreak="0">
    <w:nsid w:val="32193560"/>
    <w:multiLevelType w:val="hybridMultilevel"/>
    <w:tmpl w:val="E626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82CB7"/>
    <w:multiLevelType w:val="hybridMultilevel"/>
    <w:tmpl w:val="AD482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67705E0"/>
    <w:multiLevelType w:val="multilevel"/>
    <w:tmpl w:val="22629362"/>
    <w:name w:val="Chapter2"/>
    <w:numStyleLink w:val="Chapters"/>
  </w:abstractNum>
  <w:abstractNum w:abstractNumId="4" w15:restartNumberingAfterBreak="0">
    <w:nsid w:val="48AA5A98"/>
    <w:multiLevelType w:val="hybridMultilevel"/>
    <w:tmpl w:val="69BA6F00"/>
    <w:lvl w:ilvl="0" w:tplc="B792D368">
      <w:numFmt w:val="bullet"/>
      <w:lvlText w:val=""/>
      <w:lvlJc w:val="left"/>
      <w:pPr>
        <w:ind w:left="551" w:hanging="360"/>
      </w:pPr>
      <w:rPr>
        <w:rFonts w:ascii="Symbol" w:eastAsia="Symbol" w:hAnsi="Symbol" w:cs="Symbol" w:hint="default"/>
        <w:w w:val="100"/>
        <w:sz w:val="24"/>
        <w:szCs w:val="24"/>
        <w:lang w:val="en-US" w:eastAsia="en-US" w:bidi="en-US"/>
      </w:rPr>
    </w:lvl>
    <w:lvl w:ilvl="1" w:tplc="E9BED862">
      <w:numFmt w:val="bullet"/>
      <w:lvlText w:val="•"/>
      <w:lvlJc w:val="left"/>
      <w:pPr>
        <w:ind w:left="1510" w:hanging="360"/>
      </w:pPr>
      <w:rPr>
        <w:rFonts w:hint="default"/>
        <w:lang w:val="en-US" w:eastAsia="en-US" w:bidi="en-US"/>
      </w:rPr>
    </w:lvl>
    <w:lvl w:ilvl="2" w:tplc="E1A2C1C6">
      <w:numFmt w:val="bullet"/>
      <w:lvlText w:val="•"/>
      <w:lvlJc w:val="left"/>
      <w:pPr>
        <w:ind w:left="2460" w:hanging="360"/>
      </w:pPr>
      <w:rPr>
        <w:rFonts w:hint="default"/>
        <w:lang w:val="en-US" w:eastAsia="en-US" w:bidi="en-US"/>
      </w:rPr>
    </w:lvl>
    <w:lvl w:ilvl="3" w:tplc="7F845DFC">
      <w:numFmt w:val="bullet"/>
      <w:lvlText w:val="•"/>
      <w:lvlJc w:val="left"/>
      <w:pPr>
        <w:ind w:left="3410" w:hanging="360"/>
      </w:pPr>
      <w:rPr>
        <w:rFonts w:hint="default"/>
        <w:lang w:val="en-US" w:eastAsia="en-US" w:bidi="en-US"/>
      </w:rPr>
    </w:lvl>
    <w:lvl w:ilvl="4" w:tplc="EAC8944C">
      <w:numFmt w:val="bullet"/>
      <w:lvlText w:val="•"/>
      <w:lvlJc w:val="left"/>
      <w:pPr>
        <w:ind w:left="4360" w:hanging="360"/>
      </w:pPr>
      <w:rPr>
        <w:rFonts w:hint="default"/>
        <w:lang w:val="en-US" w:eastAsia="en-US" w:bidi="en-US"/>
      </w:rPr>
    </w:lvl>
    <w:lvl w:ilvl="5" w:tplc="92508210">
      <w:numFmt w:val="bullet"/>
      <w:lvlText w:val="•"/>
      <w:lvlJc w:val="left"/>
      <w:pPr>
        <w:ind w:left="5310" w:hanging="360"/>
      </w:pPr>
      <w:rPr>
        <w:rFonts w:hint="default"/>
        <w:lang w:val="en-US" w:eastAsia="en-US" w:bidi="en-US"/>
      </w:rPr>
    </w:lvl>
    <w:lvl w:ilvl="6" w:tplc="441C5274">
      <w:numFmt w:val="bullet"/>
      <w:lvlText w:val="•"/>
      <w:lvlJc w:val="left"/>
      <w:pPr>
        <w:ind w:left="6260" w:hanging="360"/>
      </w:pPr>
      <w:rPr>
        <w:rFonts w:hint="default"/>
        <w:lang w:val="en-US" w:eastAsia="en-US" w:bidi="en-US"/>
      </w:rPr>
    </w:lvl>
    <w:lvl w:ilvl="7" w:tplc="8712374A">
      <w:numFmt w:val="bullet"/>
      <w:lvlText w:val="•"/>
      <w:lvlJc w:val="left"/>
      <w:pPr>
        <w:ind w:left="7210" w:hanging="360"/>
      </w:pPr>
      <w:rPr>
        <w:rFonts w:hint="default"/>
        <w:lang w:val="en-US" w:eastAsia="en-US" w:bidi="en-US"/>
      </w:rPr>
    </w:lvl>
    <w:lvl w:ilvl="8" w:tplc="81749F8E">
      <w:numFmt w:val="bullet"/>
      <w:lvlText w:val="•"/>
      <w:lvlJc w:val="left"/>
      <w:pPr>
        <w:ind w:left="8160" w:hanging="360"/>
      </w:pPr>
      <w:rPr>
        <w:rFonts w:hint="default"/>
        <w:lang w:val="en-US" w:eastAsia="en-US" w:bidi="en-US"/>
      </w:rPr>
    </w:lvl>
  </w:abstractNum>
  <w:abstractNum w:abstractNumId="5" w15:restartNumberingAfterBreak="0">
    <w:nsid w:val="64460E35"/>
    <w:multiLevelType w:val="hybridMultilevel"/>
    <w:tmpl w:val="8532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595110">
    <w:abstractNumId w:val="4"/>
  </w:num>
  <w:num w:numId="2" w16cid:durableId="1498156472">
    <w:abstractNumId w:val="2"/>
  </w:num>
  <w:num w:numId="3" w16cid:durableId="2139763527">
    <w:abstractNumId w:val="5"/>
  </w:num>
  <w:num w:numId="4" w16cid:durableId="509297419">
    <w:abstractNumId w:val="1"/>
  </w:num>
  <w:num w:numId="5" w16cid:durableId="1953634675">
    <w:abstractNumId w:val="3"/>
    <w:lvlOverride w:ilvl="0">
      <w:lvl w:ilvl="0">
        <w:start w:val="1"/>
        <w:numFmt w:val="upperRoman"/>
        <w:suff w:val="nothing"/>
        <w:lvlText w:val="CHAPTER %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decimal"/>
        <w:lvlRestart w:val="1"/>
        <w:isLgl/>
        <w:lvlText w:val="Figure %1.%8"/>
        <w:lvlJc w:val="left"/>
        <w:pPr>
          <w:ind w:left="3424" w:hanging="1354"/>
        </w:pPr>
        <w:rPr>
          <w:rFonts w:ascii="Times New Roman" w:hAnsi="Times New Roman" w:hint="default"/>
          <w:i w:val="0"/>
          <w:iCs w:val="0"/>
          <w:caps w:val="0"/>
          <w:strike w:val="0"/>
          <w:dstrike w:val="0"/>
          <w:vanish w:val="0"/>
          <w:sz w:val="24"/>
          <w:vertAlign w:val="baseline"/>
        </w:rPr>
      </w:lvl>
    </w:lvlOverride>
  </w:num>
  <w:num w:numId="6" w16cid:durableId="528497737">
    <w:abstractNumId w:val="0"/>
  </w:num>
  <w:num w:numId="7" w16cid:durableId="1508445735">
    <w:abstractNumId w:val="3"/>
    <w:lvlOverride w:ilvl="0">
      <w:lvl w:ilvl="0">
        <w:start w:val="1"/>
        <w:numFmt w:val="upperRoman"/>
        <w:suff w:val="nothing"/>
        <w:lvlText w:val="CHAPTER %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55"/>
    <w:rsid w:val="000056DD"/>
    <w:rsid w:val="00007692"/>
    <w:rsid w:val="00007F58"/>
    <w:rsid w:val="00010515"/>
    <w:rsid w:val="000118C9"/>
    <w:rsid w:val="00012C14"/>
    <w:rsid w:val="000134BF"/>
    <w:rsid w:val="00017F74"/>
    <w:rsid w:val="00026161"/>
    <w:rsid w:val="000346BC"/>
    <w:rsid w:val="00035392"/>
    <w:rsid w:val="00035746"/>
    <w:rsid w:val="00037DC9"/>
    <w:rsid w:val="00042927"/>
    <w:rsid w:val="000430C0"/>
    <w:rsid w:val="0005095E"/>
    <w:rsid w:val="00051862"/>
    <w:rsid w:val="0005285C"/>
    <w:rsid w:val="00056A0C"/>
    <w:rsid w:val="00072479"/>
    <w:rsid w:val="000769F9"/>
    <w:rsid w:val="00076EE7"/>
    <w:rsid w:val="00077C9B"/>
    <w:rsid w:val="000800B5"/>
    <w:rsid w:val="00081AAF"/>
    <w:rsid w:val="00090929"/>
    <w:rsid w:val="00094179"/>
    <w:rsid w:val="00097802"/>
    <w:rsid w:val="000A778E"/>
    <w:rsid w:val="000B5AC7"/>
    <w:rsid w:val="000C1434"/>
    <w:rsid w:val="000D1040"/>
    <w:rsid w:val="000D37C7"/>
    <w:rsid w:val="000D410E"/>
    <w:rsid w:val="000D56A6"/>
    <w:rsid w:val="000D7960"/>
    <w:rsid w:val="000D7E43"/>
    <w:rsid w:val="000E68FD"/>
    <w:rsid w:val="000F15CC"/>
    <w:rsid w:val="000F42F4"/>
    <w:rsid w:val="0010168D"/>
    <w:rsid w:val="00102000"/>
    <w:rsid w:val="00103DF0"/>
    <w:rsid w:val="00104BFE"/>
    <w:rsid w:val="00114357"/>
    <w:rsid w:val="0011534A"/>
    <w:rsid w:val="0011664E"/>
    <w:rsid w:val="001211F7"/>
    <w:rsid w:val="00127D1B"/>
    <w:rsid w:val="00132433"/>
    <w:rsid w:val="0013780E"/>
    <w:rsid w:val="00142986"/>
    <w:rsid w:val="00146161"/>
    <w:rsid w:val="0015118B"/>
    <w:rsid w:val="00153E5F"/>
    <w:rsid w:val="00155721"/>
    <w:rsid w:val="001574F5"/>
    <w:rsid w:val="0016071A"/>
    <w:rsid w:val="0016075D"/>
    <w:rsid w:val="001647A9"/>
    <w:rsid w:val="00165791"/>
    <w:rsid w:val="0017370A"/>
    <w:rsid w:val="00174C11"/>
    <w:rsid w:val="00176650"/>
    <w:rsid w:val="001805B5"/>
    <w:rsid w:val="001816B8"/>
    <w:rsid w:val="00191376"/>
    <w:rsid w:val="001926E1"/>
    <w:rsid w:val="00194361"/>
    <w:rsid w:val="00194A02"/>
    <w:rsid w:val="001A1E11"/>
    <w:rsid w:val="001A5007"/>
    <w:rsid w:val="001A68BA"/>
    <w:rsid w:val="001B1B3E"/>
    <w:rsid w:val="001B321F"/>
    <w:rsid w:val="001B37CA"/>
    <w:rsid w:val="001B6910"/>
    <w:rsid w:val="001C4355"/>
    <w:rsid w:val="001D2385"/>
    <w:rsid w:val="001D7FF4"/>
    <w:rsid w:val="001E183E"/>
    <w:rsid w:val="001E1A6B"/>
    <w:rsid w:val="001E306A"/>
    <w:rsid w:val="001E6338"/>
    <w:rsid w:val="001E69A4"/>
    <w:rsid w:val="001F1B3E"/>
    <w:rsid w:val="001F2C2F"/>
    <w:rsid w:val="001F3D34"/>
    <w:rsid w:val="001F5741"/>
    <w:rsid w:val="001F6431"/>
    <w:rsid w:val="002010D8"/>
    <w:rsid w:val="0020308D"/>
    <w:rsid w:val="0020345D"/>
    <w:rsid w:val="00205077"/>
    <w:rsid w:val="00214076"/>
    <w:rsid w:val="00231AE4"/>
    <w:rsid w:val="002372FE"/>
    <w:rsid w:val="002405A8"/>
    <w:rsid w:val="00243F01"/>
    <w:rsid w:val="00244FF1"/>
    <w:rsid w:val="00252932"/>
    <w:rsid w:val="00252CF5"/>
    <w:rsid w:val="00253E13"/>
    <w:rsid w:val="00261DA3"/>
    <w:rsid w:val="00263D0D"/>
    <w:rsid w:val="00263DC3"/>
    <w:rsid w:val="00264347"/>
    <w:rsid w:val="002648AD"/>
    <w:rsid w:val="002744AE"/>
    <w:rsid w:val="00276354"/>
    <w:rsid w:val="002805E9"/>
    <w:rsid w:val="00281265"/>
    <w:rsid w:val="00282A6B"/>
    <w:rsid w:val="0028568D"/>
    <w:rsid w:val="002858DD"/>
    <w:rsid w:val="00287655"/>
    <w:rsid w:val="00292064"/>
    <w:rsid w:val="00292533"/>
    <w:rsid w:val="002944DA"/>
    <w:rsid w:val="002B25F5"/>
    <w:rsid w:val="002B3117"/>
    <w:rsid w:val="002B3276"/>
    <w:rsid w:val="002B3998"/>
    <w:rsid w:val="002B6308"/>
    <w:rsid w:val="002C1B6F"/>
    <w:rsid w:val="002C6B16"/>
    <w:rsid w:val="002C70E2"/>
    <w:rsid w:val="002C7CE5"/>
    <w:rsid w:val="002D234E"/>
    <w:rsid w:val="002D40B2"/>
    <w:rsid w:val="002D418E"/>
    <w:rsid w:val="002D5779"/>
    <w:rsid w:val="002E5D8B"/>
    <w:rsid w:val="002E7E0E"/>
    <w:rsid w:val="002F089A"/>
    <w:rsid w:val="002F6810"/>
    <w:rsid w:val="00300F3F"/>
    <w:rsid w:val="00302E77"/>
    <w:rsid w:val="0030332D"/>
    <w:rsid w:val="00304E7B"/>
    <w:rsid w:val="00316D09"/>
    <w:rsid w:val="00320491"/>
    <w:rsid w:val="00320665"/>
    <w:rsid w:val="0032371F"/>
    <w:rsid w:val="00323C99"/>
    <w:rsid w:val="00324C5A"/>
    <w:rsid w:val="00325C07"/>
    <w:rsid w:val="00332DCD"/>
    <w:rsid w:val="00332F47"/>
    <w:rsid w:val="00334ECB"/>
    <w:rsid w:val="0033550B"/>
    <w:rsid w:val="003447A8"/>
    <w:rsid w:val="00357379"/>
    <w:rsid w:val="00361BBD"/>
    <w:rsid w:val="00363D70"/>
    <w:rsid w:val="00366055"/>
    <w:rsid w:val="003667AF"/>
    <w:rsid w:val="003721E4"/>
    <w:rsid w:val="00374455"/>
    <w:rsid w:val="003818E1"/>
    <w:rsid w:val="00385025"/>
    <w:rsid w:val="0038611D"/>
    <w:rsid w:val="003928B6"/>
    <w:rsid w:val="003976DD"/>
    <w:rsid w:val="003A030E"/>
    <w:rsid w:val="003A1B2D"/>
    <w:rsid w:val="003A41D1"/>
    <w:rsid w:val="003C2C20"/>
    <w:rsid w:val="003C4496"/>
    <w:rsid w:val="003D2C9E"/>
    <w:rsid w:val="003D52EC"/>
    <w:rsid w:val="003E12CC"/>
    <w:rsid w:val="003E657E"/>
    <w:rsid w:val="003F4772"/>
    <w:rsid w:val="00401130"/>
    <w:rsid w:val="00403D1C"/>
    <w:rsid w:val="00404FB8"/>
    <w:rsid w:val="004057BB"/>
    <w:rsid w:val="00405807"/>
    <w:rsid w:val="00405C50"/>
    <w:rsid w:val="00410EA6"/>
    <w:rsid w:val="00412460"/>
    <w:rsid w:val="00412D40"/>
    <w:rsid w:val="004247EB"/>
    <w:rsid w:val="004303F5"/>
    <w:rsid w:val="00440170"/>
    <w:rsid w:val="0044438E"/>
    <w:rsid w:val="00444D72"/>
    <w:rsid w:val="00456964"/>
    <w:rsid w:val="00457681"/>
    <w:rsid w:val="00466408"/>
    <w:rsid w:val="00467BD9"/>
    <w:rsid w:val="0047090B"/>
    <w:rsid w:val="00470FD0"/>
    <w:rsid w:val="004719CE"/>
    <w:rsid w:val="00472CD0"/>
    <w:rsid w:val="00483577"/>
    <w:rsid w:val="00487C73"/>
    <w:rsid w:val="00492B82"/>
    <w:rsid w:val="0049416A"/>
    <w:rsid w:val="00496601"/>
    <w:rsid w:val="004A12B4"/>
    <w:rsid w:val="004A2F98"/>
    <w:rsid w:val="004A3FD9"/>
    <w:rsid w:val="004A5840"/>
    <w:rsid w:val="004B28D8"/>
    <w:rsid w:val="004C3E30"/>
    <w:rsid w:val="004C4EFE"/>
    <w:rsid w:val="004C6295"/>
    <w:rsid w:val="004D687C"/>
    <w:rsid w:val="004E05D9"/>
    <w:rsid w:val="004E18DE"/>
    <w:rsid w:val="004E2F4A"/>
    <w:rsid w:val="004E610C"/>
    <w:rsid w:val="004E6E5F"/>
    <w:rsid w:val="004E7478"/>
    <w:rsid w:val="004E78FB"/>
    <w:rsid w:val="004F1A45"/>
    <w:rsid w:val="004F5025"/>
    <w:rsid w:val="004F6BB8"/>
    <w:rsid w:val="005113FE"/>
    <w:rsid w:val="00511772"/>
    <w:rsid w:val="005121BC"/>
    <w:rsid w:val="00512C29"/>
    <w:rsid w:val="00512FEB"/>
    <w:rsid w:val="00517E44"/>
    <w:rsid w:val="00523B36"/>
    <w:rsid w:val="00524655"/>
    <w:rsid w:val="00525081"/>
    <w:rsid w:val="0053612A"/>
    <w:rsid w:val="00545DD2"/>
    <w:rsid w:val="00546833"/>
    <w:rsid w:val="0055457E"/>
    <w:rsid w:val="00555EC2"/>
    <w:rsid w:val="005570BC"/>
    <w:rsid w:val="00557481"/>
    <w:rsid w:val="00557882"/>
    <w:rsid w:val="00557E78"/>
    <w:rsid w:val="00564412"/>
    <w:rsid w:val="005653D2"/>
    <w:rsid w:val="00567854"/>
    <w:rsid w:val="00575B2C"/>
    <w:rsid w:val="00584C7C"/>
    <w:rsid w:val="00586182"/>
    <w:rsid w:val="00594BD1"/>
    <w:rsid w:val="00595E30"/>
    <w:rsid w:val="00596199"/>
    <w:rsid w:val="00596974"/>
    <w:rsid w:val="005A18D5"/>
    <w:rsid w:val="005A21E1"/>
    <w:rsid w:val="005A3A80"/>
    <w:rsid w:val="005A3F07"/>
    <w:rsid w:val="005A4DAF"/>
    <w:rsid w:val="005B26BD"/>
    <w:rsid w:val="005B4F68"/>
    <w:rsid w:val="005C0FAB"/>
    <w:rsid w:val="005C14D1"/>
    <w:rsid w:val="005C1C8B"/>
    <w:rsid w:val="005D1452"/>
    <w:rsid w:val="005D59A0"/>
    <w:rsid w:val="005D6FCB"/>
    <w:rsid w:val="005E0B36"/>
    <w:rsid w:val="005E6045"/>
    <w:rsid w:val="005F0776"/>
    <w:rsid w:val="005F42F7"/>
    <w:rsid w:val="005F756A"/>
    <w:rsid w:val="006018E4"/>
    <w:rsid w:val="00606397"/>
    <w:rsid w:val="00606CC4"/>
    <w:rsid w:val="00607B2D"/>
    <w:rsid w:val="00612E3D"/>
    <w:rsid w:val="00613A23"/>
    <w:rsid w:val="006155AC"/>
    <w:rsid w:val="00616CCA"/>
    <w:rsid w:val="00623DE4"/>
    <w:rsid w:val="006240FB"/>
    <w:rsid w:val="00624971"/>
    <w:rsid w:val="0062498F"/>
    <w:rsid w:val="00625BB7"/>
    <w:rsid w:val="006328F5"/>
    <w:rsid w:val="00634836"/>
    <w:rsid w:val="0063579F"/>
    <w:rsid w:val="006401E3"/>
    <w:rsid w:val="006524D4"/>
    <w:rsid w:val="0065368A"/>
    <w:rsid w:val="0065520A"/>
    <w:rsid w:val="0066010C"/>
    <w:rsid w:val="0066401A"/>
    <w:rsid w:val="00664AB6"/>
    <w:rsid w:val="006765ED"/>
    <w:rsid w:val="006775BE"/>
    <w:rsid w:val="00680324"/>
    <w:rsid w:val="00682116"/>
    <w:rsid w:val="00682E7A"/>
    <w:rsid w:val="006841BE"/>
    <w:rsid w:val="00691EC6"/>
    <w:rsid w:val="006A1367"/>
    <w:rsid w:val="006A37A8"/>
    <w:rsid w:val="006A63CE"/>
    <w:rsid w:val="006A75E5"/>
    <w:rsid w:val="006A7827"/>
    <w:rsid w:val="006B14A4"/>
    <w:rsid w:val="006B42AF"/>
    <w:rsid w:val="006B4EF9"/>
    <w:rsid w:val="006D06F4"/>
    <w:rsid w:val="006D0B93"/>
    <w:rsid w:val="006D2A75"/>
    <w:rsid w:val="006D6A29"/>
    <w:rsid w:val="006D7FE9"/>
    <w:rsid w:val="006E1A00"/>
    <w:rsid w:val="006E43A5"/>
    <w:rsid w:val="006E719A"/>
    <w:rsid w:val="006F2F59"/>
    <w:rsid w:val="006F7DDD"/>
    <w:rsid w:val="0070216A"/>
    <w:rsid w:val="007131AC"/>
    <w:rsid w:val="00714BFB"/>
    <w:rsid w:val="00716E56"/>
    <w:rsid w:val="0072099C"/>
    <w:rsid w:val="0072304F"/>
    <w:rsid w:val="00723DB9"/>
    <w:rsid w:val="00730097"/>
    <w:rsid w:val="00731477"/>
    <w:rsid w:val="007334E5"/>
    <w:rsid w:val="0073492F"/>
    <w:rsid w:val="00735352"/>
    <w:rsid w:val="007357B9"/>
    <w:rsid w:val="00740AC0"/>
    <w:rsid w:val="00741D8E"/>
    <w:rsid w:val="00746A36"/>
    <w:rsid w:val="007502CA"/>
    <w:rsid w:val="00753837"/>
    <w:rsid w:val="0076074D"/>
    <w:rsid w:val="007616E5"/>
    <w:rsid w:val="00761ACE"/>
    <w:rsid w:val="007621FA"/>
    <w:rsid w:val="0076533D"/>
    <w:rsid w:val="00766B2B"/>
    <w:rsid w:val="007670F4"/>
    <w:rsid w:val="00771139"/>
    <w:rsid w:val="0077427F"/>
    <w:rsid w:val="00776432"/>
    <w:rsid w:val="0078236C"/>
    <w:rsid w:val="007A1ADE"/>
    <w:rsid w:val="007B5501"/>
    <w:rsid w:val="007C37EA"/>
    <w:rsid w:val="007C517A"/>
    <w:rsid w:val="007D003E"/>
    <w:rsid w:val="007D1090"/>
    <w:rsid w:val="007E64F6"/>
    <w:rsid w:val="007F3A4F"/>
    <w:rsid w:val="007F678D"/>
    <w:rsid w:val="00801F46"/>
    <w:rsid w:val="00802A3E"/>
    <w:rsid w:val="00811263"/>
    <w:rsid w:val="00811BCC"/>
    <w:rsid w:val="00812B63"/>
    <w:rsid w:val="0081601B"/>
    <w:rsid w:val="0082795C"/>
    <w:rsid w:val="00833C52"/>
    <w:rsid w:val="0085122E"/>
    <w:rsid w:val="00855D33"/>
    <w:rsid w:val="00860E58"/>
    <w:rsid w:val="00860EE6"/>
    <w:rsid w:val="008630E7"/>
    <w:rsid w:val="00863E58"/>
    <w:rsid w:val="008659E7"/>
    <w:rsid w:val="00867581"/>
    <w:rsid w:val="008725F8"/>
    <w:rsid w:val="00872706"/>
    <w:rsid w:val="00873983"/>
    <w:rsid w:val="0087477A"/>
    <w:rsid w:val="008748D3"/>
    <w:rsid w:val="00881542"/>
    <w:rsid w:val="0088278B"/>
    <w:rsid w:val="00882ED7"/>
    <w:rsid w:val="008856AF"/>
    <w:rsid w:val="00890307"/>
    <w:rsid w:val="008917F8"/>
    <w:rsid w:val="00891A09"/>
    <w:rsid w:val="0089508F"/>
    <w:rsid w:val="00895E2B"/>
    <w:rsid w:val="008A08E2"/>
    <w:rsid w:val="008A52D1"/>
    <w:rsid w:val="008C166A"/>
    <w:rsid w:val="008C318C"/>
    <w:rsid w:val="008D20E2"/>
    <w:rsid w:val="008D572C"/>
    <w:rsid w:val="008D6883"/>
    <w:rsid w:val="008D711F"/>
    <w:rsid w:val="008E40A3"/>
    <w:rsid w:val="008E41BD"/>
    <w:rsid w:val="008E588B"/>
    <w:rsid w:val="008E78EF"/>
    <w:rsid w:val="008F38C2"/>
    <w:rsid w:val="008F6CC8"/>
    <w:rsid w:val="00911760"/>
    <w:rsid w:val="00914400"/>
    <w:rsid w:val="00916601"/>
    <w:rsid w:val="009200DC"/>
    <w:rsid w:val="00921089"/>
    <w:rsid w:val="009211C0"/>
    <w:rsid w:val="00922281"/>
    <w:rsid w:val="009231A1"/>
    <w:rsid w:val="009411AA"/>
    <w:rsid w:val="009439B7"/>
    <w:rsid w:val="00946BDA"/>
    <w:rsid w:val="009625F1"/>
    <w:rsid w:val="009641D6"/>
    <w:rsid w:val="00975300"/>
    <w:rsid w:val="00976B15"/>
    <w:rsid w:val="009819AD"/>
    <w:rsid w:val="00981A9B"/>
    <w:rsid w:val="00991947"/>
    <w:rsid w:val="0099244B"/>
    <w:rsid w:val="0099626C"/>
    <w:rsid w:val="009A6677"/>
    <w:rsid w:val="009B16B1"/>
    <w:rsid w:val="009C3D07"/>
    <w:rsid w:val="009D37DD"/>
    <w:rsid w:val="009E1AAD"/>
    <w:rsid w:val="009E34E1"/>
    <w:rsid w:val="009F0684"/>
    <w:rsid w:val="009F3B18"/>
    <w:rsid w:val="009F54ED"/>
    <w:rsid w:val="009F5ECA"/>
    <w:rsid w:val="00A02BC3"/>
    <w:rsid w:val="00A05747"/>
    <w:rsid w:val="00A0618E"/>
    <w:rsid w:val="00A06F5B"/>
    <w:rsid w:val="00A075EE"/>
    <w:rsid w:val="00A13324"/>
    <w:rsid w:val="00A147E5"/>
    <w:rsid w:val="00A1523D"/>
    <w:rsid w:val="00A15784"/>
    <w:rsid w:val="00A17578"/>
    <w:rsid w:val="00A214AE"/>
    <w:rsid w:val="00A24C61"/>
    <w:rsid w:val="00A44F47"/>
    <w:rsid w:val="00A62655"/>
    <w:rsid w:val="00A62B95"/>
    <w:rsid w:val="00A62D12"/>
    <w:rsid w:val="00A63BED"/>
    <w:rsid w:val="00A6525C"/>
    <w:rsid w:val="00A671BA"/>
    <w:rsid w:val="00A72F1B"/>
    <w:rsid w:val="00A743CF"/>
    <w:rsid w:val="00A771FC"/>
    <w:rsid w:val="00A86EBA"/>
    <w:rsid w:val="00A949CE"/>
    <w:rsid w:val="00A95A50"/>
    <w:rsid w:val="00A95F5E"/>
    <w:rsid w:val="00A95FD6"/>
    <w:rsid w:val="00A963D0"/>
    <w:rsid w:val="00A97CCF"/>
    <w:rsid w:val="00AA0666"/>
    <w:rsid w:val="00AA763E"/>
    <w:rsid w:val="00AB49BE"/>
    <w:rsid w:val="00AB4D34"/>
    <w:rsid w:val="00AB6EE8"/>
    <w:rsid w:val="00AC1489"/>
    <w:rsid w:val="00AC151E"/>
    <w:rsid w:val="00AD1CFA"/>
    <w:rsid w:val="00AD4B3A"/>
    <w:rsid w:val="00AD5311"/>
    <w:rsid w:val="00AD68A7"/>
    <w:rsid w:val="00AE381C"/>
    <w:rsid w:val="00AE7BE3"/>
    <w:rsid w:val="00AF2589"/>
    <w:rsid w:val="00AF4704"/>
    <w:rsid w:val="00B00D6F"/>
    <w:rsid w:val="00B106B0"/>
    <w:rsid w:val="00B118A7"/>
    <w:rsid w:val="00B20A04"/>
    <w:rsid w:val="00B22739"/>
    <w:rsid w:val="00B26C49"/>
    <w:rsid w:val="00B34081"/>
    <w:rsid w:val="00B37643"/>
    <w:rsid w:val="00B4058E"/>
    <w:rsid w:val="00B40C73"/>
    <w:rsid w:val="00B41D29"/>
    <w:rsid w:val="00B443DE"/>
    <w:rsid w:val="00B45AAC"/>
    <w:rsid w:val="00B57E7E"/>
    <w:rsid w:val="00B60913"/>
    <w:rsid w:val="00B6588F"/>
    <w:rsid w:val="00B705AB"/>
    <w:rsid w:val="00B705D7"/>
    <w:rsid w:val="00B74145"/>
    <w:rsid w:val="00B812AB"/>
    <w:rsid w:val="00B85A2E"/>
    <w:rsid w:val="00B90F41"/>
    <w:rsid w:val="00B95D9E"/>
    <w:rsid w:val="00B9667F"/>
    <w:rsid w:val="00B9677B"/>
    <w:rsid w:val="00B97408"/>
    <w:rsid w:val="00BA04F0"/>
    <w:rsid w:val="00BA26E4"/>
    <w:rsid w:val="00BA37E9"/>
    <w:rsid w:val="00BA6D60"/>
    <w:rsid w:val="00BA75C7"/>
    <w:rsid w:val="00BB2A17"/>
    <w:rsid w:val="00BB5042"/>
    <w:rsid w:val="00BB5BDB"/>
    <w:rsid w:val="00BB6C63"/>
    <w:rsid w:val="00BC025E"/>
    <w:rsid w:val="00BD3064"/>
    <w:rsid w:val="00BD432A"/>
    <w:rsid w:val="00BD4A1A"/>
    <w:rsid w:val="00BD5C5E"/>
    <w:rsid w:val="00BE1FF3"/>
    <w:rsid w:val="00BE73C3"/>
    <w:rsid w:val="00BF5B7C"/>
    <w:rsid w:val="00BF6B61"/>
    <w:rsid w:val="00C00572"/>
    <w:rsid w:val="00C034AE"/>
    <w:rsid w:val="00C04C22"/>
    <w:rsid w:val="00C126AD"/>
    <w:rsid w:val="00C1714D"/>
    <w:rsid w:val="00C177E8"/>
    <w:rsid w:val="00C3252E"/>
    <w:rsid w:val="00C33CB5"/>
    <w:rsid w:val="00C4124E"/>
    <w:rsid w:val="00C41F67"/>
    <w:rsid w:val="00C432BA"/>
    <w:rsid w:val="00C4480F"/>
    <w:rsid w:val="00C45628"/>
    <w:rsid w:val="00C471DE"/>
    <w:rsid w:val="00C510E0"/>
    <w:rsid w:val="00C62010"/>
    <w:rsid w:val="00C6353F"/>
    <w:rsid w:val="00C67B96"/>
    <w:rsid w:val="00C702D1"/>
    <w:rsid w:val="00C77974"/>
    <w:rsid w:val="00C85414"/>
    <w:rsid w:val="00C921EF"/>
    <w:rsid w:val="00C95381"/>
    <w:rsid w:val="00C954C6"/>
    <w:rsid w:val="00CA2BA5"/>
    <w:rsid w:val="00CA494A"/>
    <w:rsid w:val="00CA6B64"/>
    <w:rsid w:val="00CB57D7"/>
    <w:rsid w:val="00CC7A84"/>
    <w:rsid w:val="00CE0F05"/>
    <w:rsid w:val="00CE1DAD"/>
    <w:rsid w:val="00CE24F9"/>
    <w:rsid w:val="00CE2F24"/>
    <w:rsid w:val="00CE746A"/>
    <w:rsid w:val="00CE7760"/>
    <w:rsid w:val="00CF0CA9"/>
    <w:rsid w:val="00CF4101"/>
    <w:rsid w:val="00CF4DA3"/>
    <w:rsid w:val="00D00114"/>
    <w:rsid w:val="00D02203"/>
    <w:rsid w:val="00D10955"/>
    <w:rsid w:val="00D127AB"/>
    <w:rsid w:val="00D12BA6"/>
    <w:rsid w:val="00D15BF8"/>
    <w:rsid w:val="00D15CBE"/>
    <w:rsid w:val="00D21E19"/>
    <w:rsid w:val="00D2288E"/>
    <w:rsid w:val="00D23DD0"/>
    <w:rsid w:val="00D24CD2"/>
    <w:rsid w:val="00D3112F"/>
    <w:rsid w:val="00D315DF"/>
    <w:rsid w:val="00D3221D"/>
    <w:rsid w:val="00D324F3"/>
    <w:rsid w:val="00D42007"/>
    <w:rsid w:val="00D44CB9"/>
    <w:rsid w:val="00D44D2D"/>
    <w:rsid w:val="00D45E40"/>
    <w:rsid w:val="00D510A7"/>
    <w:rsid w:val="00D511CD"/>
    <w:rsid w:val="00D64037"/>
    <w:rsid w:val="00D655A9"/>
    <w:rsid w:val="00D66910"/>
    <w:rsid w:val="00D71FCE"/>
    <w:rsid w:val="00D7229C"/>
    <w:rsid w:val="00D76125"/>
    <w:rsid w:val="00D762F5"/>
    <w:rsid w:val="00D77085"/>
    <w:rsid w:val="00D81757"/>
    <w:rsid w:val="00D81CFE"/>
    <w:rsid w:val="00D85263"/>
    <w:rsid w:val="00D91292"/>
    <w:rsid w:val="00D927BF"/>
    <w:rsid w:val="00D9408B"/>
    <w:rsid w:val="00D94AB6"/>
    <w:rsid w:val="00DA67A2"/>
    <w:rsid w:val="00DA74EA"/>
    <w:rsid w:val="00DB1655"/>
    <w:rsid w:val="00DB2EC4"/>
    <w:rsid w:val="00DB4DEF"/>
    <w:rsid w:val="00DB769A"/>
    <w:rsid w:val="00DB7D5E"/>
    <w:rsid w:val="00DD125F"/>
    <w:rsid w:val="00DD4440"/>
    <w:rsid w:val="00DD4904"/>
    <w:rsid w:val="00DD5336"/>
    <w:rsid w:val="00DF00A4"/>
    <w:rsid w:val="00DF3A07"/>
    <w:rsid w:val="00E02DCF"/>
    <w:rsid w:val="00E03175"/>
    <w:rsid w:val="00E036BC"/>
    <w:rsid w:val="00E13227"/>
    <w:rsid w:val="00E132F9"/>
    <w:rsid w:val="00E1346D"/>
    <w:rsid w:val="00E27212"/>
    <w:rsid w:val="00E35702"/>
    <w:rsid w:val="00E416BA"/>
    <w:rsid w:val="00E41F7E"/>
    <w:rsid w:val="00E47892"/>
    <w:rsid w:val="00E47F52"/>
    <w:rsid w:val="00E505FC"/>
    <w:rsid w:val="00E52B6A"/>
    <w:rsid w:val="00E53E70"/>
    <w:rsid w:val="00E612A1"/>
    <w:rsid w:val="00E65F90"/>
    <w:rsid w:val="00E801D8"/>
    <w:rsid w:val="00E828D8"/>
    <w:rsid w:val="00E90203"/>
    <w:rsid w:val="00E9050D"/>
    <w:rsid w:val="00E927BF"/>
    <w:rsid w:val="00E93884"/>
    <w:rsid w:val="00E95072"/>
    <w:rsid w:val="00E9640F"/>
    <w:rsid w:val="00EA3CC5"/>
    <w:rsid w:val="00EA77C8"/>
    <w:rsid w:val="00EB1DB5"/>
    <w:rsid w:val="00EB64BB"/>
    <w:rsid w:val="00EB65BE"/>
    <w:rsid w:val="00EC02FD"/>
    <w:rsid w:val="00EC0798"/>
    <w:rsid w:val="00EC262D"/>
    <w:rsid w:val="00EC766A"/>
    <w:rsid w:val="00EE06F8"/>
    <w:rsid w:val="00EE5393"/>
    <w:rsid w:val="00EE5B69"/>
    <w:rsid w:val="00EE5BF6"/>
    <w:rsid w:val="00EE687A"/>
    <w:rsid w:val="00F0321D"/>
    <w:rsid w:val="00F048B1"/>
    <w:rsid w:val="00F0563E"/>
    <w:rsid w:val="00F14AAD"/>
    <w:rsid w:val="00F267D2"/>
    <w:rsid w:val="00F3006A"/>
    <w:rsid w:val="00F348A9"/>
    <w:rsid w:val="00F35EB4"/>
    <w:rsid w:val="00F36712"/>
    <w:rsid w:val="00F37EAB"/>
    <w:rsid w:val="00F404D7"/>
    <w:rsid w:val="00F407CA"/>
    <w:rsid w:val="00F40D27"/>
    <w:rsid w:val="00F523EA"/>
    <w:rsid w:val="00F558A7"/>
    <w:rsid w:val="00F64310"/>
    <w:rsid w:val="00F6646E"/>
    <w:rsid w:val="00F66680"/>
    <w:rsid w:val="00F67AD2"/>
    <w:rsid w:val="00F70BD3"/>
    <w:rsid w:val="00F736B7"/>
    <w:rsid w:val="00F74D3E"/>
    <w:rsid w:val="00F75B0B"/>
    <w:rsid w:val="00F77C63"/>
    <w:rsid w:val="00F85EE8"/>
    <w:rsid w:val="00F93BD8"/>
    <w:rsid w:val="00F957E7"/>
    <w:rsid w:val="00FA47F3"/>
    <w:rsid w:val="00FA5DDD"/>
    <w:rsid w:val="00FB0692"/>
    <w:rsid w:val="00FB0C14"/>
    <w:rsid w:val="00FB79EC"/>
    <w:rsid w:val="00FC284D"/>
    <w:rsid w:val="00FC34DE"/>
    <w:rsid w:val="00FC3AED"/>
    <w:rsid w:val="00FC48BA"/>
    <w:rsid w:val="00FC5A1A"/>
    <w:rsid w:val="00FD0B1F"/>
    <w:rsid w:val="00FD2376"/>
    <w:rsid w:val="00FD7D53"/>
    <w:rsid w:val="00FE1D26"/>
    <w:rsid w:val="00FE28FE"/>
    <w:rsid w:val="00FE4121"/>
    <w:rsid w:val="00FE6640"/>
    <w:rsid w:val="00FF413C"/>
    <w:rsid w:val="00FF51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DCD5B"/>
  <w15:chartTrackingRefBased/>
  <w15:docId w15:val="{50F919B4-858A-41F5-864C-792747ED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802"/>
  </w:style>
  <w:style w:type="paragraph" w:styleId="Heading1">
    <w:name w:val="heading 1"/>
    <w:basedOn w:val="Normal"/>
    <w:next w:val="Normal"/>
    <w:link w:val="Heading1Char"/>
    <w:uiPriority w:val="9"/>
    <w:qFormat/>
    <w:rsid w:val="003D2C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D2C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D2C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2C9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2C9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2C9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16B1"/>
    <w:rPr>
      <w:color w:val="0563C1" w:themeColor="hyperlink"/>
      <w:u w:val="single"/>
    </w:rPr>
  </w:style>
  <w:style w:type="character" w:styleId="UnresolvedMention">
    <w:name w:val="Unresolved Mention"/>
    <w:basedOn w:val="DefaultParagraphFont"/>
    <w:uiPriority w:val="99"/>
    <w:semiHidden/>
    <w:unhideWhenUsed/>
    <w:rsid w:val="009B16B1"/>
    <w:rPr>
      <w:color w:val="605E5C"/>
      <w:shd w:val="clear" w:color="auto" w:fill="E1DFDD"/>
    </w:rPr>
  </w:style>
  <w:style w:type="character" w:styleId="CommentReference">
    <w:name w:val="annotation reference"/>
    <w:basedOn w:val="DefaultParagraphFont"/>
    <w:uiPriority w:val="99"/>
    <w:semiHidden/>
    <w:unhideWhenUsed/>
    <w:rsid w:val="00625BB7"/>
    <w:rPr>
      <w:sz w:val="16"/>
      <w:szCs w:val="16"/>
    </w:rPr>
  </w:style>
  <w:style w:type="paragraph" w:styleId="CommentText">
    <w:name w:val="annotation text"/>
    <w:basedOn w:val="Normal"/>
    <w:link w:val="CommentTextChar"/>
    <w:uiPriority w:val="99"/>
    <w:semiHidden/>
    <w:unhideWhenUsed/>
    <w:rsid w:val="00625BB7"/>
    <w:pPr>
      <w:spacing w:line="240" w:lineRule="auto"/>
    </w:pPr>
    <w:rPr>
      <w:sz w:val="20"/>
      <w:szCs w:val="20"/>
    </w:rPr>
  </w:style>
  <w:style w:type="character" w:customStyle="1" w:styleId="CommentTextChar">
    <w:name w:val="Comment Text Char"/>
    <w:basedOn w:val="DefaultParagraphFont"/>
    <w:link w:val="CommentText"/>
    <w:uiPriority w:val="99"/>
    <w:semiHidden/>
    <w:rsid w:val="00625BB7"/>
    <w:rPr>
      <w:sz w:val="20"/>
      <w:szCs w:val="20"/>
    </w:rPr>
  </w:style>
  <w:style w:type="paragraph" w:styleId="CommentSubject">
    <w:name w:val="annotation subject"/>
    <w:basedOn w:val="CommentText"/>
    <w:next w:val="CommentText"/>
    <w:link w:val="CommentSubjectChar"/>
    <w:uiPriority w:val="99"/>
    <w:semiHidden/>
    <w:unhideWhenUsed/>
    <w:rsid w:val="00625BB7"/>
    <w:rPr>
      <w:b/>
      <w:bCs/>
    </w:rPr>
  </w:style>
  <w:style w:type="character" w:customStyle="1" w:styleId="CommentSubjectChar">
    <w:name w:val="Comment Subject Char"/>
    <w:basedOn w:val="CommentTextChar"/>
    <w:link w:val="CommentSubject"/>
    <w:uiPriority w:val="99"/>
    <w:semiHidden/>
    <w:rsid w:val="00625BB7"/>
    <w:rPr>
      <w:b/>
      <w:bCs/>
      <w:sz w:val="20"/>
      <w:szCs w:val="20"/>
    </w:rPr>
  </w:style>
  <w:style w:type="paragraph" w:styleId="ListParagraph">
    <w:name w:val="List Paragraph"/>
    <w:basedOn w:val="Normal"/>
    <w:uiPriority w:val="34"/>
    <w:qFormat/>
    <w:rsid w:val="00287655"/>
    <w:pPr>
      <w:spacing w:after="200" w:line="240" w:lineRule="auto"/>
      <w:ind w:left="720"/>
    </w:pPr>
    <w:rPr>
      <w:rFonts w:ascii="Cambria" w:eastAsia="MS Mincho" w:hAnsi="Cambria" w:cs="Times New Roman"/>
      <w:sz w:val="24"/>
      <w:szCs w:val="24"/>
      <w:lang w:eastAsia="ja-JP"/>
    </w:rPr>
  </w:style>
  <w:style w:type="table" w:styleId="TableGrid">
    <w:name w:val="Table Grid"/>
    <w:basedOn w:val="TableNormal"/>
    <w:uiPriority w:val="39"/>
    <w:rsid w:val="001B6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1440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B2EC4"/>
    <w:pPr>
      <w:spacing w:after="200" w:line="240" w:lineRule="auto"/>
    </w:pPr>
    <w:rPr>
      <w:i/>
      <w:iCs/>
      <w:color w:val="44546A" w:themeColor="text2"/>
      <w:sz w:val="18"/>
      <w:szCs w:val="18"/>
    </w:rPr>
  </w:style>
  <w:style w:type="paragraph" w:customStyle="1" w:styleId="ChapterNumber">
    <w:name w:val="Chapter Number"/>
    <w:basedOn w:val="Heading1"/>
    <w:uiPriority w:val="2"/>
    <w:qFormat/>
    <w:rsid w:val="003D2C9E"/>
    <w:pPr>
      <w:numPr>
        <w:numId w:val="6"/>
      </w:numPr>
      <w:tabs>
        <w:tab w:val="num" w:pos="360"/>
      </w:tabs>
      <w:spacing w:before="1440" w:afterLines="100" w:after="240" w:line="240" w:lineRule="auto"/>
      <w:ind w:left="360" w:hanging="360"/>
      <w:jc w:val="center"/>
    </w:pPr>
    <w:rPr>
      <w:rFonts w:ascii="Times New Roman" w:hAnsi="Times New Roman" w:cs="Times New Roman"/>
      <w:color w:val="000000"/>
      <w:sz w:val="24"/>
      <w:szCs w:val="24"/>
      <w:lang w:eastAsia="en-US"/>
    </w:rPr>
  </w:style>
  <w:style w:type="paragraph" w:customStyle="1" w:styleId="TableTitle">
    <w:name w:val="Table Title"/>
    <w:next w:val="Normal"/>
    <w:uiPriority w:val="14"/>
    <w:qFormat/>
    <w:rsid w:val="003D2C9E"/>
    <w:pPr>
      <w:numPr>
        <w:ilvl w:val="6"/>
        <w:numId w:val="6"/>
      </w:numPr>
      <w:spacing w:beforeLines="100" w:before="240" w:afterLines="100" w:after="240" w:line="240" w:lineRule="auto"/>
      <w:ind w:left="4680" w:hanging="360"/>
    </w:pPr>
    <w:rPr>
      <w:rFonts w:ascii="Times New Roman" w:eastAsia="Calibri" w:hAnsi="Times New Roman" w:cs="Times New Roman"/>
      <w:sz w:val="24"/>
      <w:szCs w:val="24"/>
      <w:lang w:eastAsia="en-US"/>
    </w:rPr>
  </w:style>
  <w:style w:type="paragraph" w:customStyle="1" w:styleId="FigureTitle">
    <w:name w:val="Figure Title"/>
    <w:next w:val="Normal"/>
    <w:uiPriority w:val="18"/>
    <w:qFormat/>
    <w:rsid w:val="003D2C9E"/>
    <w:pPr>
      <w:numPr>
        <w:ilvl w:val="7"/>
        <w:numId w:val="6"/>
      </w:numPr>
      <w:spacing w:beforeLines="100" w:before="240" w:afterLines="100" w:after="240" w:line="240" w:lineRule="auto"/>
      <w:ind w:left="5400" w:hanging="360"/>
    </w:pPr>
    <w:rPr>
      <w:rFonts w:ascii="Times New Roman" w:eastAsia="Calibri" w:hAnsi="Times New Roman" w:cs="Times New Roman"/>
      <w:sz w:val="24"/>
      <w:szCs w:val="24"/>
      <w:lang w:eastAsia="en-US"/>
    </w:rPr>
  </w:style>
  <w:style w:type="paragraph" w:customStyle="1" w:styleId="C1st">
    <w:name w:val="C1st"/>
    <w:aliases w:val="1st level heading"/>
    <w:basedOn w:val="Heading2"/>
    <w:next w:val="Normal"/>
    <w:uiPriority w:val="4"/>
    <w:qFormat/>
    <w:rsid w:val="003D2C9E"/>
    <w:pPr>
      <w:numPr>
        <w:ilvl w:val="1"/>
        <w:numId w:val="6"/>
      </w:numPr>
      <w:tabs>
        <w:tab w:val="num" w:pos="360"/>
      </w:tabs>
      <w:spacing w:beforeLines="100" w:before="240" w:afterLines="100" w:after="240" w:line="240" w:lineRule="auto"/>
      <w:ind w:left="0" w:firstLine="0"/>
    </w:pPr>
    <w:rPr>
      <w:rFonts w:ascii="Times New Roman" w:hAnsi="Times New Roman"/>
      <w:b/>
      <w:color w:val="auto"/>
      <w:sz w:val="24"/>
      <w:lang w:eastAsia="en-US"/>
    </w:rPr>
  </w:style>
  <w:style w:type="paragraph" w:customStyle="1" w:styleId="C2nd">
    <w:name w:val="C2nd"/>
    <w:aliases w:val="2nd level heading"/>
    <w:basedOn w:val="Heading3"/>
    <w:next w:val="Normal"/>
    <w:uiPriority w:val="5"/>
    <w:qFormat/>
    <w:rsid w:val="003D2C9E"/>
    <w:pPr>
      <w:numPr>
        <w:ilvl w:val="2"/>
        <w:numId w:val="6"/>
      </w:numPr>
      <w:tabs>
        <w:tab w:val="num" w:pos="360"/>
      </w:tabs>
      <w:spacing w:beforeLines="100" w:before="240" w:afterLines="100" w:after="240" w:line="240" w:lineRule="auto"/>
      <w:ind w:left="0" w:firstLine="0"/>
    </w:pPr>
    <w:rPr>
      <w:rFonts w:ascii="Times New Roman" w:hAnsi="Times New Roman"/>
      <w:b/>
      <w:color w:val="auto"/>
      <w:lang w:eastAsia="en-US"/>
    </w:rPr>
  </w:style>
  <w:style w:type="paragraph" w:customStyle="1" w:styleId="C3rd">
    <w:name w:val="C3rd"/>
    <w:aliases w:val="3rd level heading"/>
    <w:basedOn w:val="Heading4"/>
    <w:next w:val="Normal"/>
    <w:uiPriority w:val="6"/>
    <w:qFormat/>
    <w:rsid w:val="003D2C9E"/>
    <w:pPr>
      <w:numPr>
        <w:ilvl w:val="3"/>
        <w:numId w:val="6"/>
      </w:numPr>
      <w:tabs>
        <w:tab w:val="num" w:pos="360"/>
      </w:tabs>
      <w:spacing w:beforeLines="100" w:before="240" w:afterLines="100" w:after="240" w:line="240" w:lineRule="auto"/>
      <w:ind w:left="0" w:firstLine="0"/>
    </w:pPr>
    <w:rPr>
      <w:rFonts w:ascii="Times New Roman" w:hAnsi="Times New Roman"/>
      <w:b/>
      <w:i w:val="0"/>
      <w:color w:val="auto"/>
      <w:sz w:val="24"/>
      <w:szCs w:val="24"/>
      <w:lang w:eastAsia="en-US"/>
    </w:rPr>
  </w:style>
  <w:style w:type="paragraph" w:customStyle="1" w:styleId="C4th">
    <w:name w:val="C4th"/>
    <w:aliases w:val="4th level heading"/>
    <w:basedOn w:val="Heading5"/>
    <w:next w:val="Normal"/>
    <w:uiPriority w:val="7"/>
    <w:qFormat/>
    <w:rsid w:val="003D2C9E"/>
    <w:pPr>
      <w:numPr>
        <w:ilvl w:val="4"/>
        <w:numId w:val="6"/>
      </w:numPr>
      <w:tabs>
        <w:tab w:val="num" w:pos="360"/>
      </w:tabs>
      <w:spacing w:beforeLines="100" w:before="240" w:afterLines="100" w:after="240" w:line="240" w:lineRule="auto"/>
      <w:ind w:left="0" w:firstLine="0"/>
    </w:pPr>
    <w:rPr>
      <w:rFonts w:ascii="Times New Roman" w:hAnsi="Times New Roman"/>
      <w:b/>
      <w:color w:val="auto"/>
      <w:sz w:val="24"/>
      <w:szCs w:val="24"/>
      <w:lang w:eastAsia="en-US"/>
    </w:rPr>
  </w:style>
  <w:style w:type="paragraph" w:customStyle="1" w:styleId="C5th">
    <w:name w:val="C5th"/>
    <w:aliases w:val="5th level heading"/>
    <w:basedOn w:val="Heading6"/>
    <w:next w:val="Normal"/>
    <w:uiPriority w:val="8"/>
    <w:qFormat/>
    <w:rsid w:val="003D2C9E"/>
    <w:pPr>
      <w:numPr>
        <w:ilvl w:val="5"/>
        <w:numId w:val="6"/>
      </w:numPr>
      <w:tabs>
        <w:tab w:val="num" w:pos="360"/>
      </w:tabs>
      <w:spacing w:beforeLines="100" w:before="240" w:afterLines="100" w:after="240" w:line="240" w:lineRule="auto"/>
      <w:ind w:left="0" w:firstLine="0"/>
    </w:pPr>
    <w:rPr>
      <w:rFonts w:ascii="Times New Roman" w:hAnsi="Times New Roman"/>
      <w:b/>
      <w:color w:val="auto"/>
      <w:sz w:val="24"/>
      <w:szCs w:val="24"/>
      <w:lang w:eastAsia="en-US"/>
    </w:rPr>
  </w:style>
  <w:style w:type="numbering" w:customStyle="1" w:styleId="Chapters">
    <w:name w:val="Chapters"/>
    <w:uiPriority w:val="99"/>
    <w:rsid w:val="003D2C9E"/>
    <w:pPr>
      <w:numPr>
        <w:numId w:val="6"/>
      </w:numPr>
    </w:pPr>
  </w:style>
  <w:style w:type="character" w:customStyle="1" w:styleId="Heading1Char">
    <w:name w:val="Heading 1 Char"/>
    <w:basedOn w:val="DefaultParagraphFont"/>
    <w:link w:val="Heading1"/>
    <w:uiPriority w:val="9"/>
    <w:rsid w:val="003D2C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D2C9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D2C9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2C9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2C9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D2C9E"/>
    <w:rPr>
      <w:rFonts w:asciiTheme="majorHAnsi" w:eastAsiaTheme="majorEastAsia" w:hAnsiTheme="majorHAnsi" w:cstheme="majorBidi"/>
      <w:color w:val="1F3763" w:themeColor="accent1" w:themeShade="7F"/>
    </w:rPr>
  </w:style>
  <w:style w:type="numbering" w:customStyle="1" w:styleId="Chapters1">
    <w:name w:val="Chapters1"/>
    <w:uiPriority w:val="99"/>
    <w:rsid w:val="00975300"/>
  </w:style>
  <w:style w:type="numbering" w:customStyle="1" w:styleId="Chapters2">
    <w:name w:val="Chapters2"/>
    <w:uiPriority w:val="99"/>
    <w:rsid w:val="002B3276"/>
  </w:style>
  <w:style w:type="numbering" w:customStyle="1" w:styleId="Chapters3">
    <w:name w:val="Chapters3"/>
    <w:uiPriority w:val="99"/>
    <w:rsid w:val="00730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3957">
      <w:bodyDiv w:val="1"/>
      <w:marLeft w:val="0"/>
      <w:marRight w:val="0"/>
      <w:marTop w:val="0"/>
      <w:marBottom w:val="0"/>
      <w:divBdr>
        <w:top w:val="none" w:sz="0" w:space="0" w:color="auto"/>
        <w:left w:val="none" w:sz="0" w:space="0" w:color="auto"/>
        <w:bottom w:val="none" w:sz="0" w:space="0" w:color="auto"/>
        <w:right w:val="none" w:sz="0" w:space="0" w:color="auto"/>
      </w:divBdr>
    </w:div>
    <w:div w:id="210848755">
      <w:bodyDiv w:val="1"/>
      <w:marLeft w:val="0"/>
      <w:marRight w:val="0"/>
      <w:marTop w:val="0"/>
      <w:marBottom w:val="0"/>
      <w:divBdr>
        <w:top w:val="none" w:sz="0" w:space="0" w:color="auto"/>
        <w:left w:val="none" w:sz="0" w:space="0" w:color="auto"/>
        <w:bottom w:val="none" w:sz="0" w:space="0" w:color="auto"/>
        <w:right w:val="none" w:sz="0" w:space="0" w:color="auto"/>
      </w:divBdr>
    </w:div>
    <w:div w:id="412122663">
      <w:bodyDiv w:val="1"/>
      <w:marLeft w:val="0"/>
      <w:marRight w:val="0"/>
      <w:marTop w:val="0"/>
      <w:marBottom w:val="0"/>
      <w:divBdr>
        <w:top w:val="none" w:sz="0" w:space="0" w:color="auto"/>
        <w:left w:val="none" w:sz="0" w:space="0" w:color="auto"/>
        <w:bottom w:val="none" w:sz="0" w:space="0" w:color="auto"/>
        <w:right w:val="none" w:sz="0" w:space="0" w:color="auto"/>
      </w:divBdr>
    </w:div>
    <w:div w:id="420220334">
      <w:bodyDiv w:val="1"/>
      <w:marLeft w:val="0"/>
      <w:marRight w:val="0"/>
      <w:marTop w:val="0"/>
      <w:marBottom w:val="0"/>
      <w:divBdr>
        <w:top w:val="none" w:sz="0" w:space="0" w:color="auto"/>
        <w:left w:val="none" w:sz="0" w:space="0" w:color="auto"/>
        <w:bottom w:val="none" w:sz="0" w:space="0" w:color="auto"/>
        <w:right w:val="none" w:sz="0" w:space="0" w:color="auto"/>
      </w:divBdr>
    </w:div>
    <w:div w:id="426075698">
      <w:bodyDiv w:val="1"/>
      <w:marLeft w:val="0"/>
      <w:marRight w:val="0"/>
      <w:marTop w:val="0"/>
      <w:marBottom w:val="0"/>
      <w:divBdr>
        <w:top w:val="none" w:sz="0" w:space="0" w:color="auto"/>
        <w:left w:val="none" w:sz="0" w:space="0" w:color="auto"/>
        <w:bottom w:val="none" w:sz="0" w:space="0" w:color="auto"/>
        <w:right w:val="none" w:sz="0" w:space="0" w:color="auto"/>
      </w:divBdr>
    </w:div>
    <w:div w:id="469903356">
      <w:bodyDiv w:val="1"/>
      <w:marLeft w:val="0"/>
      <w:marRight w:val="0"/>
      <w:marTop w:val="0"/>
      <w:marBottom w:val="0"/>
      <w:divBdr>
        <w:top w:val="none" w:sz="0" w:space="0" w:color="auto"/>
        <w:left w:val="none" w:sz="0" w:space="0" w:color="auto"/>
        <w:bottom w:val="none" w:sz="0" w:space="0" w:color="auto"/>
        <w:right w:val="none" w:sz="0" w:space="0" w:color="auto"/>
      </w:divBdr>
    </w:div>
    <w:div w:id="492111382">
      <w:bodyDiv w:val="1"/>
      <w:marLeft w:val="0"/>
      <w:marRight w:val="0"/>
      <w:marTop w:val="0"/>
      <w:marBottom w:val="0"/>
      <w:divBdr>
        <w:top w:val="none" w:sz="0" w:space="0" w:color="auto"/>
        <w:left w:val="none" w:sz="0" w:space="0" w:color="auto"/>
        <w:bottom w:val="none" w:sz="0" w:space="0" w:color="auto"/>
        <w:right w:val="none" w:sz="0" w:space="0" w:color="auto"/>
      </w:divBdr>
    </w:div>
    <w:div w:id="502597870">
      <w:bodyDiv w:val="1"/>
      <w:marLeft w:val="0"/>
      <w:marRight w:val="0"/>
      <w:marTop w:val="0"/>
      <w:marBottom w:val="0"/>
      <w:divBdr>
        <w:top w:val="none" w:sz="0" w:space="0" w:color="auto"/>
        <w:left w:val="none" w:sz="0" w:space="0" w:color="auto"/>
        <w:bottom w:val="none" w:sz="0" w:space="0" w:color="auto"/>
        <w:right w:val="none" w:sz="0" w:space="0" w:color="auto"/>
      </w:divBdr>
    </w:div>
    <w:div w:id="872380186">
      <w:bodyDiv w:val="1"/>
      <w:marLeft w:val="0"/>
      <w:marRight w:val="0"/>
      <w:marTop w:val="0"/>
      <w:marBottom w:val="0"/>
      <w:divBdr>
        <w:top w:val="none" w:sz="0" w:space="0" w:color="auto"/>
        <w:left w:val="none" w:sz="0" w:space="0" w:color="auto"/>
        <w:bottom w:val="none" w:sz="0" w:space="0" w:color="auto"/>
        <w:right w:val="none" w:sz="0" w:space="0" w:color="auto"/>
      </w:divBdr>
    </w:div>
    <w:div w:id="1005089115">
      <w:bodyDiv w:val="1"/>
      <w:marLeft w:val="0"/>
      <w:marRight w:val="0"/>
      <w:marTop w:val="0"/>
      <w:marBottom w:val="0"/>
      <w:divBdr>
        <w:top w:val="none" w:sz="0" w:space="0" w:color="auto"/>
        <w:left w:val="none" w:sz="0" w:space="0" w:color="auto"/>
        <w:bottom w:val="none" w:sz="0" w:space="0" w:color="auto"/>
        <w:right w:val="none" w:sz="0" w:space="0" w:color="auto"/>
      </w:divBdr>
    </w:div>
    <w:div w:id="1018656111">
      <w:bodyDiv w:val="1"/>
      <w:marLeft w:val="0"/>
      <w:marRight w:val="0"/>
      <w:marTop w:val="0"/>
      <w:marBottom w:val="0"/>
      <w:divBdr>
        <w:top w:val="none" w:sz="0" w:space="0" w:color="auto"/>
        <w:left w:val="none" w:sz="0" w:space="0" w:color="auto"/>
        <w:bottom w:val="none" w:sz="0" w:space="0" w:color="auto"/>
        <w:right w:val="none" w:sz="0" w:space="0" w:color="auto"/>
      </w:divBdr>
    </w:div>
    <w:div w:id="1029337036">
      <w:bodyDiv w:val="1"/>
      <w:marLeft w:val="0"/>
      <w:marRight w:val="0"/>
      <w:marTop w:val="0"/>
      <w:marBottom w:val="0"/>
      <w:divBdr>
        <w:top w:val="none" w:sz="0" w:space="0" w:color="auto"/>
        <w:left w:val="none" w:sz="0" w:space="0" w:color="auto"/>
        <w:bottom w:val="none" w:sz="0" w:space="0" w:color="auto"/>
        <w:right w:val="none" w:sz="0" w:space="0" w:color="auto"/>
      </w:divBdr>
    </w:div>
    <w:div w:id="1037003567">
      <w:bodyDiv w:val="1"/>
      <w:marLeft w:val="0"/>
      <w:marRight w:val="0"/>
      <w:marTop w:val="0"/>
      <w:marBottom w:val="0"/>
      <w:divBdr>
        <w:top w:val="none" w:sz="0" w:space="0" w:color="auto"/>
        <w:left w:val="none" w:sz="0" w:space="0" w:color="auto"/>
        <w:bottom w:val="none" w:sz="0" w:space="0" w:color="auto"/>
        <w:right w:val="none" w:sz="0" w:space="0" w:color="auto"/>
      </w:divBdr>
    </w:div>
    <w:div w:id="1097290840">
      <w:bodyDiv w:val="1"/>
      <w:marLeft w:val="0"/>
      <w:marRight w:val="0"/>
      <w:marTop w:val="0"/>
      <w:marBottom w:val="0"/>
      <w:divBdr>
        <w:top w:val="none" w:sz="0" w:space="0" w:color="auto"/>
        <w:left w:val="none" w:sz="0" w:space="0" w:color="auto"/>
        <w:bottom w:val="none" w:sz="0" w:space="0" w:color="auto"/>
        <w:right w:val="none" w:sz="0" w:space="0" w:color="auto"/>
      </w:divBdr>
    </w:div>
    <w:div w:id="1118258973">
      <w:bodyDiv w:val="1"/>
      <w:marLeft w:val="0"/>
      <w:marRight w:val="0"/>
      <w:marTop w:val="0"/>
      <w:marBottom w:val="0"/>
      <w:divBdr>
        <w:top w:val="none" w:sz="0" w:space="0" w:color="auto"/>
        <w:left w:val="none" w:sz="0" w:space="0" w:color="auto"/>
        <w:bottom w:val="none" w:sz="0" w:space="0" w:color="auto"/>
        <w:right w:val="none" w:sz="0" w:space="0" w:color="auto"/>
      </w:divBdr>
    </w:div>
    <w:div w:id="1121727601">
      <w:bodyDiv w:val="1"/>
      <w:marLeft w:val="0"/>
      <w:marRight w:val="0"/>
      <w:marTop w:val="0"/>
      <w:marBottom w:val="0"/>
      <w:divBdr>
        <w:top w:val="none" w:sz="0" w:space="0" w:color="auto"/>
        <w:left w:val="none" w:sz="0" w:space="0" w:color="auto"/>
        <w:bottom w:val="none" w:sz="0" w:space="0" w:color="auto"/>
        <w:right w:val="none" w:sz="0" w:space="0" w:color="auto"/>
      </w:divBdr>
    </w:div>
    <w:div w:id="1141925496">
      <w:bodyDiv w:val="1"/>
      <w:marLeft w:val="0"/>
      <w:marRight w:val="0"/>
      <w:marTop w:val="0"/>
      <w:marBottom w:val="0"/>
      <w:divBdr>
        <w:top w:val="none" w:sz="0" w:space="0" w:color="auto"/>
        <w:left w:val="none" w:sz="0" w:space="0" w:color="auto"/>
        <w:bottom w:val="none" w:sz="0" w:space="0" w:color="auto"/>
        <w:right w:val="none" w:sz="0" w:space="0" w:color="auto"/>
      </w:divBdr>
    </w:div>
    <w:div w:id="1223902806">
      <w:bodyDiv w:val="1"/>
      <w:marLeft w:val="0"/>
      <w:marRight w:val="0"/>
      <w:marTop w:val="0"/>
      <w:marBottom w:val="0"/>
      <w:divBdr>
        <w:top w:val="none" w:sz="0" w:space="0" w:color="auto"/>
        <w:left w:val="none" w:sz="0" w:space="0" w:color="auto"/>
        <w:bottom w:val="none" w:sz="0" w:space="0" w:color="auto"/>
        <w:right w:val="none" w:sz="0" w:space="0" w:color="auto"/>
      </w:divBdr>
    </w:div>
    <w:div w:id="1237204585">
      <w:bodyDiv w:val="1"/>
      <w:marLeft w:val="0"/>
      <w:marRight w:val="0"/>
      <w:marTop w:val="0"/>
      <w:marBottom w:val="0"/>
      <w:divBdr>
        <w:top w:val="none" w:sz="0" w:space="0" w:color="auto"/>
        <w:left w:val="none" w:sz="0" w:space="0" w:color="auto"/>
        <w:bottom w:val="none" w:sz="0" w:space="0" w:color="auto"/>
        <w:right w:val="none" w:sz="0" w:space="0" w:color="auto"/>
      </w:divBdr>
    </w:div>
    <w:div w:id="1241908193">
      <w:bodyDiv w:val="1"/>
      <w:marLeft w:val="0"/>
      <w:marRight w:val="0"/>
      <w:marTop w:val="0"/>
      <w:marBottom w:val="0"/>
      <w:divBdr>
        <w:top w:val="none" w:sz="0" w:space="0" w:color="auto"/>
        <w:left w:val="none" w:sz="0" w:space="0" w:color="auto"/>
        <w:bottom w:val="none" w:sz="0" w:space="0" w:color="auto"/>
        <w:right w:val="none" w:sz="0" w:space="0" w:color="auto"/>
      </w:divBdr>
    </w:div>
    <w:div w:id="1245609387">
      <w:bodyDiv w:val="1"/>
      <w:marLeft w:val="0"/>
      <w:marRight w:val="0"/>
      <w:marTop w:val="0"/>
      <w:marBottom w:val="0"/>
      <w:divBdr>
        <w:top w:val="none" w:sz="0" w:space="0" w:color="auto"/>
        <w:left w:val="none" w:sz="0" w:space="0" w:color="auto"/>
        <w:bottom w:val="none" w:sz="0" w:space="0" w:color="auto"/>
        <w:right w:val="none" w:sz="0" w:space="0" w:color="auto"/>
      </w:divBdr>
    </w:div>
    <w:div w:id="1295286195">
      <w:bodyDiv w:val="1"/>
      <w:marLeft w:val="0"/>
      <w:marRight w:val="0"/>
      <w:marTop w:val="0"/>
      <w:marBottom w:val="0"/>
      <w:divBdr>
        <w:top w:val="none" w:sz="0" w:space="0" w:color="auto"/>
        <w:left w:val="none" w:sz="0" w:space="0" w:color="auto"/>
        <w:bottom w:val="none" w:sz="0" w:space="0" w:color="auto"/>
        <w:right w:val="none" w:sz="0" w:space="0" w:color="auto"/>
      </w:divBdr>
    </w:div>
    <w:div w:id="1396508766">
      <w:bodyDiv w:val="1"/>
      <w:marLeft w:val="0"/>
      <w:marRight w:val="0"/>
      <w:marTop w:val="0"/>
      <w:marBottom w:val="0"/>
      <w:divBdr>
        <w:top w:val="none" w:sz="0" w:space="0" w:color="auto"/>
        <w:left w:val="none" w:sz="0" w:space="0" w:color="auto"/>
        <w:bottom w:val="none" w:sz="0" w:space="0" w:color="auto"/>
        <w:right w:val="none" w:sz="0" w:space="0" w:color="auto"/>
      </w:divBdr>
    </w:div>
    <w:div w:id="1500346963">
      <w:bodyDiv w:val="1"/>
      <w:marLeft w:val="0"/>
      <w:marRight w:val="0"/>
      <w:marTop w:val="0"/>
      <w:marBottom w:val="0"/>
      <w:divBdr>
        <w:top w:val="none" w:sz="0" w:space="0" w:color="auto"/>
        <w:left w:val="none" w:sz="0" w:space="0" w:color="auto"/>
        <w:bottom w:val="none" w:sz="0" w:space="0" w:color="auto"/>
        <w:right w:val="none" w:sz="0" w:space="0" w:color="auto"/>
      </w:divBdr>
    </w:div>
    <w:div w:id="1541474196">
      <w:bodyDiv w:val="1"/>
      <w:marLeft w:val="0"/>
      <w:marRight w:val="0"/>
      <w:marTop w:val="0"/>
      <w:marBottom w:val="0"/>
      <w:divBdr>
        <w:top w:val="none" w:sz="0" w:space="0" w:color="auto"/>
        <w:left w:val="none" w:sz="0" w:space="0" w:color="auto"/>
        <w:bottom w:val="none" w:sz="0" w:space="0" w:color="auto"/>
        <w:right w:val="none" w:sz="0" w:space="0" w:color="auto"/>
      </w:divBdr>
    </w:div>
    <w:div w:id="1587108976">
      <w:bodyDiv w:val="1"/>
      <w:marLeft w:val="0"/>
      <w:marRight w:val="0"/>
      <w:marTop w:val="0"/>
      <w:marBottom w:val="0"/>
      <w:divBdr>
        <w:top w:val="none" w:sz="0" w:space="0" w:color="auto"/>
        <w:left w:val="none" w:sz="0" w:space="0" w:color="auto"/>
        <w:bottom w:val="none" w:sz="0" w:space="0" w:color="auto"/>
        <w:right w:val="none" w:sz="0" w:space="0" w:color="auto"/>
      </w:divBdr>
    </w:div>
    <w:div w:id="1620914327">
      <w:bodyDiv w:val="1"/>
      <w:marLeft w:val="0"/>
      <w:marRight w:val="0"/>
      <w:marTop w:val="0"/>
      <w:marBottom w:val="0"/>
      <w:divBdr>
        <w:top w:val="none" w:sz="0" w:space="0" w:color="auto"/>
        <w:left w:val="none" w:sz="0" w:space="0" w:color="auto"/>
        <w:bottom w:val="none" w:sz="0" w:space="0" w:color="auto"/>
        <w:right w:val="none" w:sz="0" w:space="0" w:color="auto"/>
      </w:divBdr>
    </w:div>
    <w:div w:id="1625430904">
      <w:bodyDiv w:val="1"/>
      <w:marLeft w:val="0"/>
      <w:marRight w:val="0"/>
      <w:marTop w:val="0"/>
      <w:marBottom w:val="0"/>
      <w:divBdr>
        <w:top w:val="none" w:sz="0" w:space="0" w:color="auto"/>
        <w:left w:val="none" w:sz="0" w:space="0" w:color="auto"/>
        <w:bottom w:val="none" w:sz="0" w:space="0" w:color="auto"/>
        <w:right w:val="none" w:sz="0" w:space="0" w:color="auto"/>
      </w:divBdr>
    </w:div>
    <w:div w:id="1684548633">
      <w:bodyDiv w:val="1"/>
      <w:marLeft w:val="0"/>
      <w:marRight w:val="0"/>
      <w:marTop w:val="0"/>
      <w:marBottom w:val="0"/>
      <w:divBdr>
        <w:top w:val="none" w:sz="0" w:space="0" w:color="auto"/>
        <w:left w:val="none" w:sz="0" w:space="0" w:color="auto"/>
        <w:bottom w:val="none" w:sz="0" w:space="0" w:color="auto"/>
        <w:right w:val="none" w:sz="0" w:space="0" w:color="auto"/>
      </w:divBdr>
    </w:div>
    <w:div w:id="1755667561">
      <w:bodyDiv w:val="1"/>
      <w:marLeft w:val="0"/>
      <w:marRight w:val="0"/>
      <w:marTop w:val="0"/>
      <w:marBottom w:val="0"/>
      <w:divBdr>
        <w:top w:val="none" w:sz="0" w:space="0" w:color="auto"/>
        <w:left w:val="none" w:sz="0" w:space="0" w:color="auto"/>
        <w:bottom w:val="none" w:sz="0" w:space="0" w:color="auto"/>
        <w:right w:val="none" w:sz="0" w:space="0" w:color="auto"/>
      </w:divBdr>
    </w:div>
    <w:div w:id="1765228042">
      <w:bodyDiv w:val="1"/>
      <w:marLeft w:val="0"/>
      <w:marRight w:val="0"/>
      <w:marTop w:val="0"/>
      <w:marBottom w:val="0"/>
      <w:divBdr>
        <w:top w:val="none" w:sz="0" w:space="0" w:color="auto"/>
        <w:left w:val="none" w:sz="0" w:space="0" w:color="auto"/>
        <w:bottom w:val="none" w:sz="0" w:space="0" w:color="auto"/>
        <w:right w:val="none" w:sz="0" w:space="0" w:color="auto"/>
      </w:divBdr>
    </w:div>
    <w:div w:id="1803111503">
      <w:bodyDiv w:val="1"/>
      <w:marLeft w:val="0"/>
      <w:marRight w:val="0"/>
      <w:marTop w:val="0"/>
      <w:marBottom w:val="0"/>
      <w:divBdr>
        <w:top w:val="none" w:sz="0" w:space="0" w:color="auto"/>
        <w:left w:val="none" w:sz="0" w:space="0" w:color="auto"/>
        <w:bottom w:val="none" w:sz="0" w:space="0" w:color="auto"/>
        <w:right w:val="none" w:sz="0" w:space="0" w:color="auto"/>
      </w:divBdr>
    </w:div>
    <w:div w:id="1835992397">
      <w:bodyDiv w:val="1"/>
      <w:marLeft w:val="0"/>
      <w:marRight w:val="0"/>
      <w:marTop w:val="0"/>
      <w:marBottom w:val="0"/>
      <w:divBdr>
        <w:top w:val="none" w:sz="0" w:space="0" w:color="auto"/>
        <w:left w:val="none" w:sz="0" w:space="0" w:color="auto"/>
        <w:bottom w:val="none" w:sz="0" w:space="0" w:color="auto"/>
        <w:right w:val="none" w:sz="0" w:space="0" w:color="auto"/>
      </w:divBdr>
    </w:div>
    <w:div w:id="1894997442">
      <w:bodyDiv w:val="1"/>
      <w:marLeft w:val="0"/>
      <w:marRight w:val="0"/>
      <w:marTop w:val="0"/>
      <w:marBottom w:val="0"/>
      <w:divBdr>
        <w:top w:val="none" w:sz="0" w:space="0" w:color="auto"/>
        <w:left w:val="none" w:sz="0" w:space="0" w:color="auto"/>
        <w:bottom w:val="none" w:sz="0" w:space="0" w:color="auto"/>
        <w:right w:val="none" w:sz="0" w:space="0" w:color="auto"/>
      </w:divBdr>
    </w:div>
    <w:div w:id="1993362715">
      <w:bodyDiv w:val="1"/>
      <w:marLeft w:val="0"/>
      <w:marRight w:val="0"/>
      <w:marTop w:val="0"/>
      <w:marBottom w:val="0"/>
      <w:divBdr>
        <w:top w:val="none" w:sz="0" w:space="0" w:color="auto"/>
        <w:left w:val="none" w:sz="0" w:space="0" w:color="auto"/>
        <w:bottom w:val="none" w:sz="0" w:space="0" w:color="auto"/>
        <w:right w:val="none" w:sz="0" w:space="0" w:color="auto"/>
      </w:divBdr>
    </w:div>
    <w:div w:id="2017683670">
      <w:bodyDiv w:val="1"/>
      <w:marLeft w:val="0"/>
      <w:marRight w:val="0"/>
      <w:marTop w:val="0"/>
      <w:marBottom w:val="0"/>
      <w:divBdr>
        <w:top w:val="none" w:sz="0" w:space="0" w:color="auto"/>
        <w:left w:val="none" w:sz="0" w:space="0" w:color="auto"/>
        <w:bottom w:val="none" w:sz="0" w:space="0" w:color="auto"/>
        <w:right w:val="none" w:sz="0" w:space="0" w:color="auto"/>
      </w:divBdr>
    </w:div>
    <w:div w:id="2106028581">
      <w:bodyDiv w:val="1"/>
      <w:marLeft w:val="0"/>
      <w:marRight w:val="0"/>
      <w:marTop w:val="0"/>
      <w:marBottom w:val="0"/>
      <w:divBdr>
        <w:top w:val="none" w:sz="0" w:space="0" w:color="auto"/>
        <w:left w:val="none" w:sz="0" w:space="0" w:color="auto"/>
        <w:bottom w:val="none" w:sz="0" w:space="0" w:color="auto"/>
        <w:right w:val="none" w:sz="0" w:space="0" w:color="auto"/>
      </w:divBdr>
    </w:div>
    <w:div w:id="21264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arch.22047"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i240@msstate.edu"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fm61@msstate.edu" TargetMode="External"/><Relationship Id="rId11" Type="http://schemas.openxmlformats.org/officeDocument/2006/relationships/hyperlink" Target="https://www.mafes.msstate.edu/discovers/article.asp?id=260" TargetMode="External"/><Relationship Id="rId5" Type="http://schemas.openxmlformats.org/officeDocument/2006/relationships/hyperlink" Target="mailto:seungjoon.ahn@msstate.edu" TargetMode="External"/><Relationship Id="rId15" Type="http://schemas.openxmlformats.org/officeDocument/2006/relationships/image" Target="media/image4.png"/><Relationship Id="rId10" Type="http://schemas.openxmlformats.org/officeDocument/2006/relationships/hyperlink" Target="https://scholarsjunction.msstate.edu/td/644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oi.org/10.1002/arch.2210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Ahn, Seung-Joon</dc:creator>
  <cp:keywords/>
  <dc:description/>
  <cp:lastModifiedBy>L. Jason Krutz</cp:lastModifiedBy>
  <cp:revision>2</cp:revision>
  <cp:lastPrinted>2025-03-31T18:57:00Z</cp:lastPrinted>
  <dcterms:created xsi:type="dcterms:W3CDTF">2025-09-11T15:41:00Z</dcterms:created>
  <dcterms:modified xsi:type="dcterms:W3CDTF">2025-09-11T15:41:00Z</dcterms:modified>
</cp:coreProperties>
</file>