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D995" w14:textId="06E71772" w:rsidR="00FF34C8" w:rsidRDefault="00C45477" w:rsidP="00C45477">
      <w:pPr>
        <w:jc w:val="center"/>
        <w:rPr>
          <w:b/>
          <w:sz w:val="22"/>
          <w:szCs w:val="22"/>
        </w:rPr>
      </w:pPr>
      <w:r w:rsidRPr="00D1443E">
        <w:rPr>
          <w:b/>
          <w:sz w:val="22"/>
          <w:szCs w:val="22"/>
        </w:rPr>
        <w:t>Evaluation of Potential Cover Crops in Conjunction with Current Weed Control Programs in Soybeans</w:t>
      </w:r>
    </w:p>
    <w:p w14:paraId="7AAFCA4B" w14:textId="3702D3FE" w:rsidR="00C45477" w:rsidRDefault="00C45477" w:rsidP="00C45477">
      <w:pPr>
        <w:jc w:val="center"/>
        <w:rPr>
          <w:b/>
          <w:sz w:val="22"/>
          <w:szCs w:val="22"/>
        </w:rPr>
      </w:pPr>
      <w:r>
        <w:rPr>
          <w:b/>
          <w:sz w:val="22"/>
          <w:szCs w:val="22"/>
        </w:rPr>
        <w:t>Quarter 1 Report</w:t>
      </w:r>
    </w:p>
    <w:p w14:paraId="3C6C4BDD" w14:textId="77777777" w:rsidR="00C45477" w:rsidRDefault="00C45477" w:rsidP="00C45477">
      <w:pPr>
        <w:jc w:val="center"/>
        <w:rPr>
          <w:b/>
          <w:sz w:val="22"/>
          <w:szCs w:val="22"/>
        </w:rPr>
      </w:pPr>
    </w:p>
    <w:p w14:paraId="79F20C28" w14:textId="4DA343FC" w:rsidR="00C45477" w:rsidRPr="00C45477" w:rsidRDefault="00C45477" w:rsidP="00C45477">
      <w:pPr>
        <w:rPr>
          <w:b/>
          <w:sz w:val="22"/>
          <w:szCs w:val="22"/>
        </w:rPr>
      </w:pPr>
      <w:r w:rsidRPr="00C45477">
        <w:rPr>
          <w:b/>
          <w:sz w:val="22"/>
          <w:szCs w:val="22"/>
        </w:rPr>
        <w:t>PI and Co-PI’s:</w:t>
      </w:r>
    </w:p>
    <w:p w14:paraId="26158DCA" w14:textId="77777777" w:rsidR="00C45477" w:rsidRDefault="00C45477" w:rsidP="00C45477">
      <w:pPr>
        <w:rPr>
          <w:bCs/>
          <w:sz w:val="22"/>
          <w:szCs w:val="22"/>
        </w:rPr>
      </w:pPr>
    </w:p>
    <w:p w14:paraId="28F76168" w14:textId="55C94980" w:rsidR="00C45477" w:rsidRPr="00C45477" w:rsidRDefault="00C45477" w:rsidP="00C45477">
      <w:pPr>
        <w:rPr>
          <w:bCs/>
          <w:sz w:val="22"/>
          <w:szCs w:val="22"/>
        </w:rPr>
      </w:pPr>
      <w:r w:rsidRPr="00C45477">
        <w:rPr>
          <w:bCs/>
          <w:sz w:val="22"/>
          <w:szCs w:val="22"/>
        </w:rPr>
        <w:t>Jeff Gore (for Hunter Bowman),</w:t>
      </w:r>
      <w:r>
        <w:rPr>
          <w:bCs/>
          <w:sz w:val="22"/>
          <w:szCs w:val="22"/>
        </w:rPr>
        <w:t xml:space="preserve"> </w:t>
      </w:r>
      <w:r w:rsidRPr="00C45477">
        <w:rPr>
          <w:bCs/>
          <w:sz w:val="22"/>
          <w:szCs w:val="22"/>
        </w:rPr>
        <w:t>662</w:t>
      </w:r>
      <w:r>
        <w:rPr>
          <w:bCs/>
          <w:sz w:val="22"/>
          <w:szCs w:val="22"/>
        </w:rPr>
        <w:t>-</w:t>
      </w:r>
      <w:r w:rsidRPr="00C45477">
        <w:rPr>
          <w:bCs/>
          <w:sz w:val="22"/>
          <w:szCs w:val="22"/>
        </w:rPr>
        <w:t>820-9969</w:t>
      </w:r>
      <w:r>
        <w:rPr>
          <w:bCs/>
          <w:sz w:val="22"/>
          <w:szCs w:val="22"/>
        </w:rPr>
        <w:t xml:space="preserve">, </w:t>
      </w:r>
      <w:hyperlink r:id="rId4" w:history="1">
        <w:r w:rsidRPr="00390F33">
          <w:rPr>
            <w:rStyle w:val="Hyperlink"/>
            <w:bCs/>
            <w:sz w:val="22"/>
            <w:szCs w:val="22"/>
          </w:rPr>
          <w:t>jgore@drec.msstate.edu</w:t>
        </w:r>
      </w:hyperlink>
      <w:r w:rsidRPr="00C45477">
        <w:rPr>
          <w:bCs/>
          <w:sz w:val="22"/>
          <w:szCs w:val="22"/>
        </w:rPr>
        <w:t xml:space="preserve">, </w:t>
      </w:r>
    </w:p>
    <w:p w14:paraId="4449CA42" w14:textId="4BDD912C" w:rsidR="00C45477" w:rsidRPr="00C45477" w:rsidRDefault="00C45477" w:rsidP="00C45477">
      <w:pPr>
        <w:widowControl w:val="0"/>
        <w:rPr>
          <w:bCs/>
          <w:iCs/>
          <w:sz w:val="22"/>
          <w:szCs w:val="22"/>
        </w:rPr>
      </w:pPr>
      <w:r w:rsidRPr="00C45477">
        <w:rPr>
          <w:bCs/>
          <w:iCs/>
          <w:sz w:val="22"/>
          <w:szCs w:val="22"/>
        </w:rPr>
        <w:t xml:space="preserve">Jason Bond, 662-686-9311, </w:t>
      </w:r>
      <w:hyperlink r:id="rId5" w:history="1">
        <w:r w:rsidRPr="00C45477">
          <w:rPr>
            <w:rStyle w:val="Hyperlink"/>
            <w:bCs/>
            <w:iCs/>
            <w:sz w:val="22"/>
            <w:szCs w:val="22"/>
          </w:rPr>
          <w:t>jason.bond@msstate.edu</w:t>
        </w:r>
      </w:hyperlink>
    </w:p>
    <w:p w14:paraId="5DE10FEE" w14:textId="04E1F646" w:rsidR="00C45477" w:rsidRPr="00C45477" w:rsidRDefault="00C45477" w:rsidP="00C45477">
      <w:pPr>
        <w:widowControl w:val="0"/>
        <w:rPr>
          <w:bCs/>
          <w:iCs/>
          <w:sz w:val="22"/>
          <w:szCs w:val="22"/>
        </w:rPr>
      </w:pPr>
      <w:r w:rsidRPr="00C45477">
        <w:rPr>
          <w:bCs/>
          <w:iCs/>
          <w:sz w:val="22"/>
          <w:szCs w:val="22"/>
        </w:rPr>
        <w:t xml:space="preserve">Trent Irby, 662-325-8616, </w:t>
      </w:r>
      <w:hyperlink r:id="rId6" w:history="1">
        <w:r w:rsidRPr="00C45477">
          <w:rPr>
            <w:rStyle w:val="Hyperlink"/>
            <w:bCs/>
            <w:iCs/>
            <w:sz w:val="22"/>
            <w:szCs w:val="22"/>
          </w:rPr>
          <w:t>jti2@msstate.edu</w:t>
        </w:r>
      </w:hyperlink>
    </w:p>
    <w:p w14:paraId="1E2D0204" w14:textId="613A2650" w:rsidR="00C45477" w:rsidRPr="00C45477" w:rsidRDefault="00C45477" w:rsidP="00C45477">
      <w:pPr>
        <w:widowControl w:val="0"/>
        <w:rPr>
          <w:bCs/>
          <w:iCs/>
          <w:sz w:val="22"/>
          <w:szCs w:val="22"/>
        </w:rPr>
      </w:pPr>
      <w:r w:rsidRPr="00C45477">
        <w:rPr>
          <w:bCs/>
          <w:iCs/>
          <w:sz w:val="22"/>
          <w:szCs w:val="22"/>
        </w:rPr>
        <w:t xml:space="preserve">Corey Bryant, 662-686-3255, </w:t>
      </w:r>
      <w:hyperlink r:id="rId7" w:history="1">
        <w:r w:rsidRPr="00C45477">
          <w:rPr>
            <w:rStyle w:val="Hyperlink"/>
            <w:bCs/>
            <w:iCs/>
            <w:sz w:val="22"/>
            <w:szCs w:val="22"/>
          </w:rPr>
          <w:t>cjb777@msstate.edu</w:t>
        </w:r>
      </w:hyperlink>
    </w:p>
    <w:p w14:paraId="202DF59D" w14:textId="77777777" w:rsidR="00C45477" w:rsidRDefault="00C45477" w:rsidP="00C45477"/>
    <w:p w14:paraId="113317F3" w14:textId="77777777" w:rsidR="00C45477" w:rsidRDefault="00C45477" w:rsidP="00C45477"/>
    <w:p w14:paraId="245C35D7" w14:textId="77777777" w:rsidR="00C45477" w:rsidRPr="00C45477" w:rsidRDefault="00C45477" w:rsidP="00C45477">
      <w:pPr>
        <w:rPr>
          <w:b/>
          <w:bCs/>
          <w:iCs/>
          <w:sz w:val="22"/>
          <w:szCs w:val="22"/>
        </w:rPr>
      </w:pPr>
      <w:r w:rsidRPr="00C45477">
        <w:rPr>
          <w:b/>
          <w:bCs/>
          <w:iCs/>
          <w:sz w:val="22"/>
          <w:szCs w:val="22"/>
        </w:rPr>
        <w:t>Rationale/Justification:</w:t>
      </w:r>
    </w:p>
    <w:p w14:paraId="51CE6B6D" w14:textId="77777777" w:rsidR="00C45477" w:rsidRDefault="00C45477" w:rsidP="00C45477">
      <w:pPr>
        <w:rPr>
          <w:iCs/>
          <w:sz w:val="22"/>
          <w:szCs w:val="22"/>
        </w:rPr>
      </w:pPr>
    </w:p>
    <w:p w14:paraId="2A2201DF" w14:textId="008A398C" w:rsidR="00C45477" w:rsidRDefault="00C45477" w:rsidP="00C45477">
      <w:pPr>
        <w:rPr>
          <w:iCs/>
          <w:sz w:val="22"/>
          <w:szCs w:val="22"/>
        </w:rPr>
      </w:pPr>
      <w:r w:rsidRPr="00C15000">
        <w:rPr>
          <w:iCs/>
          <w:sz w:val="22"/>
          <w:szCs w:val="22"/>
        </w:rPr>
        <w:t xml:space="preserve">Controlling problematic weeds while input prices continue to increase means that Mississippi soybean growers need to maximize yield and get the best return on investment from inputs. Currently, several cover crop programs are being utilized throughout Mississippi, with limited university-based research to support the decisions involving cover crops. With many growers choosing to incorporate cover crops, it is essential to identify which herbicides can be used </w:t>
      </w:r>
      <w:proofErr w:type="gramStart"/>
      <w:r w:rsidRPr="00C15000">
        <w:rPr>
          <w:iCs/>
          <w:sz w:val="22"/>
          <w:szCs w:val="22"/>
        </w:rPr>
        <w:t>in-season</w:t>
      </w:r>
      <w:proofErr w:type="gramEnd"/>
      <w:r w:rsidRPr="00C15000">
        <w:rPr>
          <w:iCs/>
          <w:sz w:val="22"/>
          <w:szCs w:val="22"/>
        </w:rPr>
        <w:t xml:space="preserve"> with </w:t>
      </w:r>
      <w:proofErr w:type="gramStart"/>
      <w:r w:rsidRPr="00C15000">
        <w:rPr>
          <w:iCs/>
          <w:sz w:val="22"/>
          <w:szCs w:val="22"/>
        </w:rPr>
        <w:t>soybean</w:t>
      </w:r>
      <w:proofErr w:type="gramEnd"/>
      <w:r w:rsidRPr="00C15000">
        <w:rPr>
          <w:iCs/>
          <w:sz w:val="22"/>
          <w:szCs w:val="22"/>
        </w:rPr>
        <w:t xml:space="preserve"> and will still allow for planting of cover crops in the following fall.</w:t>
      </w:r>
    </w:p>
    <w:p w14:paraId="7D30AC14" w14:textId="77777777" w:rsidR="00C45477" w:rsidRDefault="00C45477" w:rsidP="00C45477">
      <w:pPr>
        <w:rPr>
          <w:iCs/>
          <w:sz w:val="22"/>
          <w:szCs w:val="22"/>
        </w:rPr>
      </w:pPr>
    </w:p>
    <w:p w14:paraId="5CB3CB15" w14:textId="125F4137" w:rsidR="00C45477" w:rsidRDefault="00C45477" w:rsidP="00C45477">
      <w:pPr>
        <w:rPr>
          <w:b/>
          <w:bCs/>
          <w:iCs/>
          <w:sz w:val="22"/>
          <w:szCs w:val="22"/>
        </w:rPr>
      </w:pPr>
      <w:r w:rsidRPr="00C45477">
        <w:rPr>
          <w:b/>
          <w:bCs/>
          <w:iCs/>
          <w:sz w:val="22"/>
          <w:szCs w:val="22"/>
        </w:rPr>
        <w:t xml:space="preserve">Report </w:t>
      </w:r>
      <w:proofErr w:type="gramStart"/>
      <w:r w:rsidRPr="00C45477">
        <w:rPr>
          <w:b/>
          <w:bCs/>
          <w:iCs/>
          <w:sz w:val="22"/>
          <w:szCs w:val="22"/>
        </w:rPr>
        <w:t>of</w:t>
      </w:r>
      <w:proofErr w:type="gramEnd"/>
      <w:r w:rsidRPr="00C45477">
        <w:rPr>
          <w:b/>
          <w:bCs/>
          <w:iCs/>
          <w:sz w:val="22"/>
          <w:szCs w:val="22"/>
        </w:rPr>
        <w:t xml:space="preserve"> Progress/Activity:</w:t>
      </w:r>
    </w:p>
    <w:p w14:paraId="4EB6B41D" w14:textId="77777777" w:rsidR="00C45477" w:rsidRDefault="00C45477" w:rsidP="00C45477">
      <w:pPr>
        <w:rPr>
          <w:b/>
          <w:bCs/>
          <w:iCs/>
          <w:sz w:val="22"/>
          <w:szCs w:val="22"/>
        </w:rPr>
      </w:pPr>
    </w:p>
    <w:p w14:paraId="39983F4F" w14:textId="7D6ECCE1" w:rsidR="00C45477" w:rsidRPr="009F3A00" w:rsidRDefault="00C45477" w:rsidP="00C45477">
      <w:pPr>
        <w:widowControl w:val="0"/>
        <w:spacing w:line="480" w:lineRule="auto"/>
        <w:rPr>
          <w:b/>
          <w:bCs/>
          <w:sz w:val="22"/>
          <w:szCs w:val="22"/>
        </w:rPr>
      </w:pPr>
      <w:r w:rsidRPr="006B34B4">
        <w:rPr>
          <w:b/>
          <w:bCs/>
          <w:sz w:val="22"/>
          <w:szCs w:val="22"/>
        </w:rPr>
        <w:t xml:space="preserve">Objective 1: </w:t>
      </w:r>
      <w:r w:rsidRPr="009F3A00">
        <w:rPr>
          <w:b/>
          <w:bCs/>
          <w:sz w:val="22"/>
          <w:szCs w:val="22"/>
        </w:rPr>
        <w:t>Herbicide carry-over from common season-long soybean herbicide programs</w:t>
      </w:r>
    </w:p>
    <w:p w14:paraId="784647C1" w14:textId="652CA936" w:rsidR="00C45477" w:rsidRDefault="00C45477" w:rsidP="00C45477">
      <w:pPr>
        <w:rPr>
          <w:sz w:val="22"/>
          <w:szCs w:val="22"/>
        </w:rPr>
      </w:pPr>
      <w:r w:rsidRPr="006B34B4">
        <w:rPr>
          <w:b/>
          <w:bCs/>
          <w:sz w:val="22"/>
          <w:szCs w:val="22"/>
        </w:rPr>
        <w:t xml:space="preserve">Quarter 1. </w:t>
      </w:r>
      <w:r w:rsidRPr="006B34B4">
        <w:rPr>
          <w:sz w:val="22"/>
          <w:szCs w:val="22"/>
        </w:rPr>
        <w:t>Soybeans were harvested in the fall of 2023 and cover crops were planted in November. Cover crop injury was evaluated at multiple timings, but data have not been analyzed at this time. Cover crops were terminated and soybeans were planted in 2024.</w:t>
      </w:r>
    </w:p>
    <w:p w14:paraId="261A09F3" w14:textId="77777777" w:rsidR="004F06B7" w:rsidRDefault="004F06B7" w:rsidP="00C45477">
      <w:pPr>
        <w:rPr>
          <w:sz w:val="22"/>
          <w:szCs w:val="22"/>
        </w:rPr>
      </w:pPr>
    </w:p>
    <w:p w14:paraId="257B7D34" w14:textId="3D52AD19" w:rsidR="004F06B7" w:rsidRDefault="004F06B7" w:rsidP="00C45477">
      <w:pPr>
        <w:rPr>
          <w:sz w:val="22"/>
          <w:szCs w:val="22"/>
        </w:rPr>
      </w:pPr>
      <w:r>
        <w:rPr>
          <w:b/>
          <w:bCs/>
          <w:sz w:val="22"/>
          <w:szCs w:val="22"/>
        </w:rPr>
        <w:t xml:space="preserve">Quarter 2. </w:t>
      </w:r>
      <w:r>
        <w:rPr>
          <w:sz w:val="22"/>
          <w:szCs w:val="22"/>
        </w:rPr>
        <w:t xml:space="preserve">Soybeans were planted in the spring of 2024. Various plant emergence and plant growth measurements were recorded. Soybeans were harvested and </w:t>
      </w:r>
      <w:proofErr w:type="gramStart"/>
      <w:r>
        <w:rPr>
          <w:sz w:val="22"/>
          <w:szCs w:val="22"/>
        </w:rPr>
        <w:t>the cover</w:t>
      </w:r>
      <w:proofErr w:type="gramEnd"/>
      <w:r>
        <w:rPr>
          <w:sz w:val="22"/>
          <w:szCs w:val="22"/>
        </w:rPr>
        <w:t xml:space="preserve"> crops were planted. No data </w:t>
      </w:r>
      <w:proofErr w:type="gramStart"/>
      <w:r>
        <w:rPr>
          <w:sz w:val="22"/>
          <w:szCs w:val="22"/>
        </w:rPr>
        <w:t>have</w:t>
      </w:r>
      <w:proofErr w:type="gramEnd"/>
      <w:r>
        <w:rPr>
          <w:sz w:val="22"/>
          <w:szCs w:val="22"/>
        </w:rPr>
        <w:t xml:space="preserve"> been analyzed or summarized at this time.</w:t>
      </w:r>
    </w:p>
    <w:p w14:paraId="1BD36F56" w14:textId="77777777" w:rsidR="002D14AC" w:rsidRDefault="002D14AC" w:rsidP="00C45477">
      <w:pPr>
        <w:rPr>
          <w:sz w:val="22"/>
          <w:szCs w:val="22"/>
        </w:rPr>
      </w:pPr>
    </w:p>
    <w:p w14:paraId="03090562" w14:textId="69F544C0" w:rsidR="002D14AC" w:rsidRPr="002D14AC" w:rsidRDefault="002D14AC" w:rsidP="00C45477">
      <w:pPr>
        <w:rPr>
          <w:sz w:val="22"/>
          <w:szCs w:val="22"/>
        </w:rPr>
      </w:pPr>
      <w:r w:rsidRPr="002D14AC">
        <w:rPr>
          <w:b/>
          <w:bCs/>
          <w:sz w:val="22"/>
          <w:szCs w:val="22"/>
        </w:rPr>
        <w:t xml:space="preserve">Quarter 3. </w:t>
      </w:r>
      <w:r>
        <w:rPr>
          <w:sz w:val="22"/>
          <w:szCs w:val="22"/>
        </w:rPr>
        <w:t>Herbicide carryover injury to cover crops has been quantified on multiple dates, but data have not been summarized at this time.</w:t>
      </w:r>
    </w:p>
    <w:p w14:paraId="105AD564" w14:textId="77777777" w:rsidR="00C45477" w:rsidRPr="006B34B4" w:rsidRDefault="00C45477" w:rsidP="00C45477">
      <w:pPr>
        <w:rPr>
          <w:sz w:val="22"/>
          <w:szCs w:val="22"/>
        </w:rPr>
      </w:pPr>
    </w:p>
    <w:p w14:paraId="62507A4C" w14:textId="098D224A" w:rsidR="00C45477" w:rsidRPr="006B34B4" w:rsidRDefault="00C45477" w:rsidP="00C45477">
      <w:pPr>
        <w:rPr>
          <w:b/>
          <w:iCs/>
          <w:sz w:val="22"/>
          <w:szCs w:val="22"/>
        </w:rPr>
      </w:pPr>
      <w:r w:rsidRPr="006B34B4">
        <w:rPr>
          <w:b/>
          <w:bCs/>
          <w:sz w:val="22"/>
          <w:szCs w:val="22"/>
        </w:rPr>
        <w:t xml:space="preserve">Objective 2: </w:t>
      </w:r>
      <w:r w:rsidRPr="006B34B4">
        <w:rPr>
          <w:b/>
          <w:iCs/>
          <w:sz w:val="22"/>
          <w:szCs w:val="22"/>
        </w:rPr>
        <w:t>Tolerance of cover crops to fall-applied herbicides at the time of cover crop planting</w:t>
      </w:r>
    </w:p>
    <w:p w14:paraId="0B512756" w14:textId="77777777" w:rsidR="00C45477" w:rsidRPr="006B34B4" w:rsidRDefault="00C45477" w:rsidP="00C45477">
      <w:pPr>
        <w:rPr>
          <w:b/>
          <w:iCs/>
          <w:sz w:val="22"/>
          <w:szCs w:val="22"/>
        </w:rPr>
      </w:pPr>
    </w:p>
    <w:p w14:paraId="28599D91" w14:textId="17AF7437" w:rsidR="00C45477" w:rsidRDefault="00C45477" w:rsidP="00C45477">
      <w:pPr>
        <w:rPr>
          <w:bCs/>
          <w:iCs/>
          <w:sz w:val="22"/>
          <w:szCs w:val="22"/>
        </w:rPr>
      </w:pPr>
      <w:r w:rsidRPr="006B34B4">
        <w:rPr>
          <w:b/>
          <w:iCs/>
          <w:sz w:val="22"/>
          <w:szCs w:val="22"/>
        </w:rPr>
        <w:t>Quarter 1</w:t>
      </w:r>
      <w:r w:rsidR="002E6C86" w:rsidRPr="006B34B4">
        <w:rPr>
          <w:b/>
          <w:iCs/>
          <w:sz w:val="22"/>
          <w:szCs w:val="22"/>
        </w:rPr>
        <w:t xml:space="preserve">. </w:t>
      </w:r>
      <w:r w:rsidR="002E6C86" w:rsidRPr="006B34B4">
        <w:rPr>
          <w:bCs/>
          <w:iCs/>
          <w:sz w:val="22"/>
          <w:szCs w:val="22"/>
        </w:rPr>
        <w:t xml:space="preserve">This objective will be initiated in the fall after the harvest of the current </w:t>
      </w:r>
      <w:proofErr w:type="gramStart"/>
      <w:r w:rsidR="002E6C86" w:rsidRPr="006B34B4">
        <w:rPr>
          <w:bCs/>
          <w:iCs/>
          <w:sz w:val="22"/>
          <w:szCs w:val="22"/>
        </w:rPr>
        <w:t>years</w:t>
      </w:r>
      <w:proofErr w:type="gramEnd"/>
      <w:r w:rsidR="002E6C86" w:rsidRPr="006B34B4">
        <w:rPr>
          <w:bCs/>
          <w:iCs/>
          <w:sz w:val="22"/>
          <w:szCs w:val="22"/>
        </w:rPr>
        <w:t xml:space="preserve"> soybeans are harvested.</w:t>
      </w:r>
    </w:p>
    <w:p w14:paraId="2AF6EA90" w14:textId="77777777" w:rsidR="004F06B7" w:rsidRDefault="004F06B7" w:rsidP="00C45477">
      <w:pPr>
        <w:rPr>
          <w:bCs/>
          <w:iCs/>
          <w:sz w:val="22"/>
          <w:szCs w:val="22"/>
        </w:rPr>
      </w:pPr>
    </w:p>
    <w:p w14:paraId="2ABA1131" w14:textId="6F3DCFFA" w:rsidR="004F06B7" w:rsidRDefault="004F06B7" w:rsidP="00C45477">
      <w:pPr>
        <w:rPr>
          <w:bCs/>
          <w:iCs/>
          <w:sz w:val="22"/>
          <w:szCs w:val="22"/>
        </w:rPr>
      </w:pPr>
      <w:r>
        <w:rPr>
          <w:b/>
          <w:iCs/>
          <w:sz w:val="22"/>
          <w:szCs w:val="22"/>
        </w:rPr>
        <w:t xml:space="preserve">Quarter 2. </w:t>
      </w:r>
      <w:r>
        <w:rPr>
          <w:bCs/>
          <w:iCs/>
          <w:sz w:val="22"/>
          <w:szCs w:val="22"/>
        </w:rPr>
        <w:t xml:space="preserve">The soybeans were harvested and fall residual herbicides were applied. The cover crops have been </w:t>
      </w:r>
      <w:r w:rsidR="009F3A00">
        <w:rPr>
          <w:bCs/>
          <w:iCs/>
          <w:sz w:val="22"/>
          <w:szCs w:val="22"/>
        </w:rPr>
        <w:t>planted but</w:t>
      </w:r>
      <w:r>
        <w:rPr>
          <w:bCs/>
          <w:iCs/>
          <w:sz w:val="22"/>
          <w:szCs w:val="22"/>
        </w:rPr>
        <w:t xml:space="preserve"> have not emerged to date due to lack of soil moisture.</w:t>
      </w:r>
    </w:p>
    <w:p w14:paraId="746C3F57" w14:textId="77777777" w:rsidR="002D14AC" w:rsidRDefault="002D14AC" w:rsidP="00C45477">
      <w:pPr>
        <w:rPr>
          <w:bCs/>
          <w:iCs/>
          <w:sz w:val="22"/>
          <w:szCs w:val="22"/>
        </w:rPr>
      </w:pPr>
    </w:p>
    <w:p w14:paraId="60200621" w14:textId="1DA92419" w:rsidR="002D14AC" w:rsidRDefault="002D14AC" w:rsidP="002D14AC">
      <w:pPr>
        <w:rPr>
          <w:sz w:val="22"/>
          <w:szCs w:val="22"/>
        </w:rPr>
      </w:pPr>
      <w:r w:rsidRPr="002D14AC">
        <w:rPr>
          <w:b/>
          <w:bCs/>
          <w:sz w:val="22"/>
          <w:szCs w:val="22"/>
        </w:rPr>
        <w:t>Quarter 3</w:t>
      </w:r>
      <w:r w:rsidRPr="002D14AC">
        <w:rPr>
          <w:sz w:val="22"/>
          <w:szCs w:val="22"/>
        </w:rPr>
        <w:t>. Fall applied herbicide</w:t>
      </w:r>
      <w:r>
        <w:rPr>
          <w:sz w:val="22"/>
          <w:szCs w:val="22"/>
        </w:rPr>
        <w:t xml:space="preserve"> injury to cover crops has been quantified on multiple dates, but data have not been summarized at this time.</w:t>
      </w:r>
    </w:p>
    <w:p w14:paraId="5E0BD447" w14:textId="77777777" w:rsidR="007E1834" w:rsidRDefault="007E1834" w:rsidP="002D14AC">
      <w:pPr>
        <w:rPr>
          <w:sz w:val="22"/>
          <w:szCs w:val="22"/>
        </w:rPr>
      </w:pPr>
    </w:p>
    <w:p w14:paraId="68F2AC01" w14:textId="77777777" w:rsidR="009F3A00" w:rsidRDefault="009F3A00" w:rsidP="002D14AC">
      <w:pPr>
        <w:rPr>
          <w:b/>
          <w:bCs/>
          <w:sz w:val="22"/>
          <w:szCs w:val="22"/>
        </w:rPr>
      </w:pPr>
    </w:p>
    <w:p w14:paraId="434F4629" w14:textId="77777777" w:rsidR="009F3A00" w:rsidRDefault="009F3A00" w:rsidP="002D14AC">
      <w:pPr>
        <w:rPr>
          <w:b/>
          <w:bCs/>
          <w:sz w:val="22"/>
          <w:szCs w:val="22"/>
        </w:rPr>
      </w:pPr>
    </w:p>
    <w:p w14:paraId="5F109E8D" w14:textId="77777777" w:rsidR="009F3A00" w:rsidRDefault="009F3A00" w:rsidP="002D14AC">
      <w:pPr>
        <w:rPr>
          <w:b/>
          <w:bCs/>
          <w:sz w:val="22"/>
          <w:szCs w:val="22"/>
        </w:rPr>
      </w:pPr>
    </w:p>
    <w:p w14:paraId="4D97A642" w14:textId="77777777" w:rsidR="009F3A00" w:rsidRDefault="009F3A00" w:rsidP="002D14AC">
      <w:pPr>
        <w:rPr>
          <w:b/>
          <w:bCs/>
          <w:sz w:val="22"/>
          <w:szCs w:val="22"/>
        </w:rPr>
      </w:pPr>
    </w:p>
    <w:p w14:paraId="314D6FE4" w14:textId="1B9F694E" w:rsidR="007E1834" w:rsidRDefault="007E1834" w:rsidP="002D14AC">
      <w:pPr>
        <w:rPr>
          <w:b/>
          <w:bCs/>
          <w:sz w:val="22"/>
          <w:szCs w:val="22"/>
        </w:rPr>
      </w:pPr>
      <w:r w:rsidRPr="007E1834">
        <w:rPr>
          <w:b/>
          <w:bCs/>
          <w:sz w:val="22"/>
          <w:szCs w:val="22"/>
        </w:rPr>
        <w:lastRenderedPageBreak/>
        <w:t xml:space="preserve">Quarter 4. </w:t>
      </w:r>
    </w:p>
    <w:p w14:paraId="0FFABC7F" w14:textId="77777777" w:rsidR="009F3A00" w:rsidRDefault="009F3A00" w:rsidP="002D14AC">
      <w:pPr>
        <w:rPr>
          <w:b/>
          <w:bCs/>
          <w:sz w:val="22"/>
          <w:szCs w:val="22"/>
        </w:rPr>
      </w:pPr>
    </w:p>
    <w:p w14:paraId="53B3CE87" w14:textId="77777777" w:rsidR="009F3A00" w:rsidRPr="009F3A00" w:rsidRDefault="009F3A00" w:rsidP="009F3A00">
      <w:pPr>
        <w:widowControl w:val="0"/>
        <w:spacing w:line="480" w:lineRule="auto"/>
        <w:rPr>
          <w:b/>
          <w:bCs/>
          <w:sz w:val="22"/>
          <w:szCs w:val="22"/>
        </w:rPr>
      </w:pPr>
      <w:r>
        <w:rPr>
          <w:b/>
          <w:bCs/>
          <w:sz w:val="22"/>
          <w:szCs w:val="22"/>
        </w:rPr>
        <w:t xml:space="preserve">Objective 1: </w:t>
      </w:r>
      <w:r w:rsidRPr="009F3A00">
        <w:rPr>
          <w:b/>
          <w:bCs/>
          <w:sz w:val="22"/>
          <w:szCs w:val="22"/>
        </w:rPr>
        <w:t>Herbicide carry-over from common season-long soybean herbicide programs</w:t>
      </w:r>
    </w:p>
    <w:p w14:paraId="18FFB93C" w14:textId="345BB18E" w:rsidR="009F3A00" w:rsidRDefault="009F3A00" w:rsidP="002D14AC">
      <w:pPr>
        <w:rPr>
          <w:sz w:val="22"/>
          <w:szCs w:val="22"/>
        </w:rPr>
      </w:pPr>
      <w:r>
        <w:rPr>
          <w:sz w:val="22"/>
          <w:szCs w:val="22"/>
        </w:rPr>
        <w:t xml:space="preserve">This objective was completed during the winter of 2024-2025. Common soybean herbicides did not appear to </w:t>
      </w:r>
      <w:r w:rsidR="009904DF">
        <w:rPr>
          <w:sz w:val="22"/>
          <w:szCs w:val="22"/>
        </w:rPr>
        <w:t xml:space="preserve">greatly </w:t>
      </w:r>
      <w:r>
        <w:rPr>
          <w:sz w:val="22"/>
          <w:szCs w:val="22"/>
        </w:rPr>
        <w:t>reduce emergence</w:t>
      </w:r>
      <w:r w:rsidR="009904DF">
        <w:rPr>
          <w:sz w:val="22"/>
          <w:szCs w:val="22"/>
        </w:rPr>
        <w:t xml:space="preserve"> or plant height</w:t>
      </w:r>
      <w:r>
        <w:rPr>
          <w:sz w:val="22"/>
          <w:szCs w:val="22"/>
        </w:rPr>
        <w:t xml:space="preserve"> of tillage radish, vetch, or wheat. </w:t>
      </w:r>
      <w:r w:rsidR="009904DF">
        <w:rPr>
          <w:sz w:val="22"/>
          <w:szCs w:val="22"/>
        </w:rPr>
        <w:t>However, Dual Magnum slightly reduced the stand density of wheat compared to the untreated control.</w:t>
      </w:r>
    </w:p>
    <w:p w14:paraId="1F23140F" w14:textId="77777777" w:rsidR="009904DF" w:rsidRDefault="009904DF" w:rsidP="002D14AC">
      <w:pPr>
        <w:rPr>
          <w:sz w:val="22"/>
          <w:szCs w:val="22"/>
        </w:rPr>
      </w:pPr>
    </w:p>
    <w:p w14:paraId="6B4C1A1B" w14:textId="47AC1C4B" w:rsidR="009904DF" w:rsidRDefault="009904DF" w:rsidP="002D14AC">
      <w:pPr>
        <w:rPr>
          <w:sz w:val="22"/>
          <w:szCs w:val="22"/>
        </w:rPr>
      </w:pPr>
      <w:r>
        <w:rPr>
          <w:noProof/>
          <w:sz w:val="22"/>
          <w:szCs w:val="22"/>
        </w:rPr>
        <w:drawing>
          <wp:inline distT="0" distB="0" distL="0" distR="0" wp14:anchorId="30C6481B" wp14:editId="71074B61">
            <wp:extent cx="5943600" cy="3343275"/>
            <wp:effectExtent l="0" t="0" r="0" b="9525"/>
            <wp:docPr id="428467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67149" name="Picture 428467149"/>
                    <pic:cNvPicPr/>
                  </pic:nvPicPr>
                  <pic:blipFill>
                    <a:blip r:embed="rId8"/>
                    <a:stretch>
                      <a:fillRect/>
                    </a:stretch>
                  </pic:blipFill>
                  <pic:spPr>
                    <a:xfrm>
                      <a:off x="0" y="0"/>
                      <a:ext cx="5943600" cy="3343275"/>
                    </a:xfrm>
                    <a:prstGeom prst="rect">
                      <a:avLst/>
                    </a:prstGeom>
                  </pic:spPr>
                </pic:pic>
              </a:graphicData>
            </a:graphic>
          </wp:inline>
        </w:drawing>
      </w:r>
    </w:p>
    <w:p w14:paraId="6AA899F0" w14:textId="54475266" w:rsidR="009F3A00" w:rsidRDefault="009904DF" w:rsidP="002D14AC">
      <w:pPr>
        <w:rPr>
          <w:sz w:val="22"/>
          <w:szCs w:val="22"/>
        </w:rPr>
      </w:pPr>
      <w:r>
        <w:rPr>
          <w:noProof/>
          <w:sz w:val="22"/>
          <w:szCs w:val="22"/>
        </w:rPr>
        <w:drawing>
          <wp:inline distT="0" distB="0" distL="0" distR="0" wp14:anchorId="4F30EFAA" wp14:editId="72F4F94E">
            <wp:extent cx="5943600" cy="3343275"/>
            <wp:effectExtent l="0" t="0" r="0" b="9525"/>
            <wp:docPr id="1701137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37580" name="Picture 1701137580"/>
                    <pic:cNvPicPr/>
                  </pic:nvPicPr>
                  <pic:blipFill>
                    <a:blip r:embed="rId9"/>
                    <a:stretch>
                      <a:fillRect/>
                    </a:stretch>
                  </pic:blipFill>
                  <pic:spPr>
                    <a:xfrm>
                      <a:off x="0" y="0"/>
                      <a:ext cx="5943600" cy="3343275"/>
                    </a:xfrm>
                    <a:prstGeom prst="rect">
                      <a:avLst/>
                    </a:prstGeom>
                  </pic:spPr>
                </pic:pic>
              </a:graphicData>
            </a:graphic>
          </wp:inline>
        </w:drawing>
      </w:r>
    </w:p>
    <w:p w14:paraId="1A5E3E1F" w14:textId="40910C28" w:rsidR="009F3A00" w:rsidRDefault="009904DF" w:rsidP="002D14AC">
      <w:pPr>
        <w:rPr>
          <w:sz w:val="22"/>
          <w:szCs w:val="22"/>
        </w:rPr>
      </w:pPr>
      <w:r>
        <w:rPr>
          <w:sz w:val="22"/>
          <w:szCs w:val="22"/>
        </w:rPr>
        <w:lastRenderedPageBreak/>
        <w:t xml:space="preserve">Despite no reductions in plant density of plant height of the cover crops, all herbicides caused significant injury. </w:t>
      </w:r>
      <w:proofErr w:type="spellStart"/>
      <w:r>
        <w:rPr>
          <w:sz w:val="22"/>
          <w:szCs w:val="22"/>
        </w:rPr>
        <w:t>Flexstar</w:t>
      </w:r>
      <w:proofErr w:type="spellEnd"/>
      <w:r>
        <w:rPr>
          <w:sz w:val="22"/>
          <w:szCs w:val="22"/>
        </w:rPr>
        <w:t xml:space="preserve">, Warrant, and Classic resulted in 30% or greater injury to tillage radishes while Dual Magnum and </w:t>
      </w:r>
      <w:proofErr w:type="spellStart"/>
      <w:r>
        <w:rPr>
          <w:sz w:val="22"/>
          <w:szCs w:val="22"/>
        </w:rPr>
        <w:t>Zidua</w:t>
      </w:r>
      <w:proofErr w:type="spellEnd"/>
      <w:r>
        <w:rPr>
          <w:sz w:val="22"/>
          <w:szCs w:val="22"/>
        </w:rPr>
        <w:t xml:space="preserve"> SC caused less than 20% injury.  All herbicides caused greater than 30% injury to vetch. In contrast, wheat appeared to be </w:t>
      </w:r>
      <w:proofErr w:type="gramStart"/>
      <w:r>
        <w:rPr>
          <w:sz w:val="22"/>
          <w:szCs w:val="22"/>
        </w:rPr>
        <w:t>most</w:t>
      </w:r>
      <w:proofErr w:type="gramEnd"/>
      <w:r>
        <w:rPr>
          <w:sz w:val="22"/>
          <w:szCs w:val="22"/>
        </w:rPr>
        <w:t xml:space="preserve"> tolerant </w:t>
      </w:r>
      <w:proofErr w:type="gramStart"/>
      <w:r>
        <w:rPr>
          <w:sz w:val="22"/>
          <w:szCs w:val="22"/>
        </w:rPr>
        <w:t>to</w:t>
      </w:r>
      <w:proofErr w:type="gramEnd"/>
      <w:r>
        <w:rPr>
          <w:sz w:val="22"/>
          <w:szCs w:val="22"/>
        </w:rPr>
        <w:t xml:space="preserve"> </w:t>
      </w:r>
      <w:proofErr w:type="gramStart"/>
      <w:r>
        <w:rPr>
          <w:sz w:val="22"/>
          <w:szCs w:val="22"/>
        </w:rPr>
        <w:t>herbicide carryover</w:t>
      </w:r>
      <w:proofErr w:type="gramEnd"/>
      <w:r>
        <w:rPr>
          <w:sz w:val="22"/>
          <w:szCs w:val="22"/>
        </w:rPr>
        <w:t xml:space="preserve"> in the soil with Classic being the only herbicide to cause greater than 20% injury. </w:t>
      </w:r>
      <w:proofErr w:type="spellStart"/>
      <w:r>
        <w:rPr>
          <w:sz w:val="22"/>
          <w:szCs w:val="22"/>
        </w:rPr>
        <w:t>Flexstar</w:t>
      </w:r>
      <w:proofErr w:type="spellEnd"/>
      <w:r>
        <w:rPr>
          <w:sz w:val="22"/>
          <w:szCs w:val="22"/>
        </w:rPr>
        <w:t>, Dual Magnum, and Warrant caused less than 20% injury to wheat.</w:t>
      </w:r>
    </w:p>
    <w:p w14:paraId="7893F440" w14:textId="77777777" w:rsidR="009904DF" w:rsidRDefault="009904DF" w:rsidP="002D14AC">
      <w:pPr>
        <w:rPr>
          <w:sz w:val="22"/>
          <w:szCs w:val="22"/>
        </w:rPr>
      </w:pPr>
    </w:p>
    <w:p w14:paraId="3E5C7649" w14:textId="5BA597D0" w:rsidR="009904DF" w:rsidRDefault="009904DF" w:rsidP="002D14AC">
      <w:pPr>
        <w:rPr>
          <w:sz w:val="22"/>
          <w:szCs w:val="22"/>
        </w:rPr>
      </w:pPr>
      <w:r>
        <w:rPr>
          <w:noProof/>
          <w:sz w:val="22"/>
          <w:szCs w:val="22"/>
        </w:rPr>
        <w:drawing>
          <wp:inline distT="0" distB="0" distL="0" distR="0" wp14:anchorId="7ABDE6FE" wp14:editId="46D8D00A">
            <wp:extent cx="5943600" cy="3343275"/>
            <wp:effectExtent l="0" t="0" r="0" b="9525"/>
            <wp:docPr id="1742110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10908" name="Picture 1742110908"/>
                    <pic:cNvPicPr/>
                  </pic:nvPicPr>
                  <pic:blipFill>
                    <a:blip r:embed="rId10"/>
                    <a:stretch>
                      <a:fillRect/>
                    </a:stretch>
                  </pic:blipFill>
                  <pic:spPr>
                    <a:xfrm>
                      <a:off x="0" y="0"/>
                      <a:ext cx="5943600" cy="3343275"/>
                    </a:xfrm>
                    <a:prstGeom prst="rect">
                      <a:avLst/>
                    </a:prstGeom>
                  </pic:spPr>
                </pic:pic>
              </a:graphicData>
            </a:graphic>
          </wp:inline>
        </w:drawing>
      </w:r>
    </w:p>
    <w:p w14:paraId="40127057" w14:textId="77777777" w:rsidR="009904DF" w:rsidRDefault="009904DF" w:rsidP="002D14AC">
      <w:pPr>
        <w:rPr>
          <w:sz w:val="22"/>
          <w:szCs w:val="22"/>
        </w:rPr>
      </w:pPr>
    </w:p>
    <w:p w14:paraId="48C2B2AB" w14:textId="77777777" w:rsidR="009904DF" w:rsidRDefault="009904DF" w:rsidP="002D14AC">
      <w:pPr>
        <w:rPr>
          <w:sz w:val="22"/>
          <w:szCs w:val="22"/>
        </w:rPr>
      </w:pPr>
    </w:p>
    <w:p w14:paraId="66482C44" w14:textId="77777777" w:rsidR="009F3A00" w:rsidRDefault="009F3A00" w:rsidP="002D14AC">
      <w:pPr>
        <w:rPr>
          <w:sz w:val="22"/>
          <w:szCs w:val="22"/>
        </w:rPr>
      </w:pPr>
    </w:p>
    <w:p w14:paraId="4B47DB77" w14:textId="77777777" w:rsidR="009F3A00" w:rsidRPr="007E1834" w:rsidRDefault="009F3A00" w:rsidP="002D14AC">
      <w:pPr>
        <w:rPr>
          <w:sz w:val="22"/>
          <w:szCs w:val="22"/>
        </w:rPr>
      </w:pPr>
    </w:p>
    <w:p w14:paraId="22CE51AC" w14:textId="77777777" w:rsidR="002D14AC" w:rsidRPr="004F06B7" w:rsidRDefault="002D14AC" w:rsidP="00C45477">
      <w:pPr>
        <w:rPr>
          <w:bCs/>
          <w:sz w:val="22"/>
          <w:szCs w:val="22"/>
        </w:rPr>
      </w:pPr>
    </w:p>
    <w:p w14:paraId="19350F84" w14:textId="77777777" w:rsidR="00C45477" w:rsidRDefault="00C45477" w:rsidP="00C45477"/>
    <w:p w14:paraId="6F524A5B" w14:textId="6A84F199" w:rsidR="00C45477" w:rsidRDefault="00102FBA" w:rsidP="00C45477">
      <w:pPr>
        <w:rPr>
          <w:b/>
          <w:iCs/>
          <w:sz w:val="22"/>
          <w:szCs w:val="22"/>
        </w:rPr>
      </w:pPr>
      <w:r w:rsidRPr="006B34B4">
        <w:rPr>
          <w:b/>
          <w:bCs/>
          <w:sz w:val="22"/>
          <w:szCs w:val="22"/>
        </w:rPr>
        <w:t xml:space="preserve">Objective 2: </w:t>
      </w:r>
      <w:r w:rsidRPr="006B34B4">
        <w:rPr>
          <w:b/>
          <w:iCs/>
          <w:sz w:val="22"/>
          <w:szCs w:val="22"/>
        </w:rPr>
        <w:t>Tolerance of cover crops to fall-applied herbicides at the time of cover crop planting</w:t>
      </w:r>
    </w:p>
    <w:p w14:paraId="57ACB20B" w14:textId="77777777" w:rsidR="008C7D4A" w:rsidRDefault="008C7D4A" w:rsidP="00C45477">
      <w:pPr>
        <w:rPr>
          <w:b/>
          <w:iCs/>
          <w:sz w:val="22"/>
          <w:szCs w:val="22"/>
        </w:rPr>
      </w:pPr>
    </w:p>
    <w:p w14:paraId="3C215356" w14:textId="7C4ED5F3" w:rsidR="008C7D4A" w:rsidRDefault="008C7D4A" w:rsidP="00C45477">
      <w:pPr>
        <w:rPr>
          <w:bCs/>
        </w:rPr>
      </w:pPr>
      <w:r>
        <w:rPr>
          <w:bCs/>
        </w:rPr>
        <w:t xml:space="preserve">Several </w:t>
      </w:r>
      <w:proofErr w:type="gramStart"/>
      <w:r>
        <w:rPr>
          <w:bCs/>
        </w:rPr>
        <w:t>fall</w:t>
      </w:r>
      <w:proofErr w:type="gramEnd"/>
      <w:r>
        <w:rPr>
          <w:bCs/>
        </w:rPr>
        <w:t xml:space="preserve"> applied residual herbicides greatly reduced plant densities of cover crops. Valor EZ, Boundary, Valor EZ plus Dual Magnum, Valor EZ plus </w:t>
      </w:r>
      <w:proofErr w:type="spellStart"/>
      <w:r>
        <w:rPr>
          <w:bCs/>
        </w:rPr>
        <w:t>Zidua</w:t>
      </w:r>
      <w:proofErr w:type="spellEnd"/>
      <w:r>
        <w:rPr>
          <w:bCs/>
        </w:rPr>
        <w:t xml:space="preserve">, and </w:t>
      </w:r>
      <w:proofErr w:type="spellStart"/>
      <w:r>
        <w:rPr>
          <w:bCs/>
        </w:rPr>
        <w:t>Vlor</w:t>
      </w:r>
      <w:proofErr w:type="spellEnd"/>
      <w:r>
        <w:rPr>
          <w:bCs/>
        </w:rPr>
        <w:t xml:space="preserve"> plus Command resulted in failed stands of tillage radish. </w:t>
      </w:r>
      <w:proofErr w:type="spellStart"/>
      <w:r>
        <w:rPr>
          <w:bCs/>
        </w:rPr>
        <w:t>Zidua</w:t>
      </w:r>
      <w:proofErr w:type="spellEnd"/>
      <w:r>
        <w:rPr>
          <w:bCs/>
        </w:rPr>
        <w:t xml:space="preserve"> SC and Command reduced plant density of tillage radish compared to the untreated control. Similarly, Valor EZ alone or combined with other herbicides resulted in a failed stand of vetch. Other herbicides did not significantly reduce </w:t>
      </w:r>
      <w:r w:rsidR="007D0C39">
        <w:rPr>
          <w:bCs/>
        </w:rPr>
        <w:t xml:space="preserve">plant density of vetch. In wheat, Dual Magnum, Boundary, and Valor plus Dual Magnum greatly reduced the plant density. All other herbicides caused </w:t>
      </w:r>
      <w:proofErr w:type="gramStart"/>
      <w:r w:rsidR="007D0C39">
        <w:rPr>
          <w:bCs/>
        </w:rPr>
        <w:t>slight to</w:t>
      </w:r>
      <w:proofErr w:type="gramEnd"/>
      <w:r w:rsidR="007D0C39">
        <w:rPr>
          <w:bCs/>
        </w:rPr>
        <w:t xml:space="preserve"> moderate reductions in wheat density compared to the untreated control. Herbicides that reduced plant densities of tillage radish, vetch, and wheat also reduced plant heights of those cover crops.</w:t>
      </w:r>
    </w:p>
    <w:p w14:paraId="093FE782" w14:textId="77777777" w:rsidR="007D0C39" w:rsidRDefault="007D0C39" w:rsidP="00C45477">
      <w:pPr>
        <w:rPr>
          <w:bCs/>
        </w:rPr>
      </w:pPr>
    </w:p>
    <w:p w14:paraId="04FF701A" w14:textId="5E93E248" w:rsidR="007D0C39" w:rsidRDefault="007D0C39" w:rsidP="00C45477">
      <w:pPr>
        <w:rPr>
          <w:bCs/>
        </w:rPr>
      </w:pPr>
      <w:r>
        <w:rPr>
          <w:bCs/>
          <w:noProof/>
        </w:rPr>
        <w:lastRenderedPageBreak/>
        <w:drawing>
          <wp:inline distT="0" distB="0" distL="0" distR="0" wp14:anchorId="6A5CBA19" wp14:editId="15315CB3">
            <wp:extent cx="5943600" cy="3343275"/>
            <wp:effectExtent l="0" t="0" r="0" b="9525"/>
            <wp:docPr id="491720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2024" name="Picture 49172024"/>
                    <pic:cNvPicPr/>
                  </pic:nvPicPr>
                  <pic:blipFill>
                    <a:blip r:embed="rId11"/>
                    <a:stretch>
                      <a:fillRect/>
                    </a:stretch>
                  </pic:blipFill>
                  <pic:spPr>
                    <a:xfrm>
                      <a:off x="0" y="0"/>
                      <a:ext cx="5943600" cy="3343275"/>
                    </a:xfrm>
                    <a:prstGeom prst="rect">
                      <a:avLst/>
                    </a:prstGeom>
                  </pic:spPr>
                </pic:pic>
              </a:graphicData>
            </a:graphic>
          </wp:inline>
        </w:drawing>
      </w:r>
    </w:p>
    <w:p w14:paraId="7AD242B6" w14:textId="40E2A087" w:rsidR="007D0C39" w:rsidRDefault="007D0C39" w:rsidP="00C45477">
      <w:pPr>
        <w:rPr>
          <w:bCs/>
        </w:rPr>
      </w:pPr>
      <w:r>
        <w:rPr>
          <w:bCs/>
          <w:noProof/>
        </w:rPr>
        <w:drawing>
          <wp:inline distT="0" distB="0" distL="0" distR="0" wp14:anchorId="51352C9A" wp14:editId="77877AE7">
            <wp:extent cx="5943600" cy="3343275"/>
            <wp:effectExtent l="0" t="0" r="0" b="9525"/>
            <wp:docPr id="11470968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96853" name="Picture 1147096853"/>
                    <pic:cNvPicPr/>
                  </pic:nvPicPr>
                  <pic:blipFill>
                    <a:blip r:embed="rId12"/>
                    <a:stretch>
                      <a:fillRect/>
                    </a:stretch>
                  </pic:blipFill>
                  <pic:spPr>
                    <a:xfrm>
                      <a:off x="0" y="0"/>
                      <a:ext cx="5943600" cy="3343275"/>
                    </a:xfrm>
                    <a:prstGeom prst="rect">
                      <a:avLst/>
                    </a:prstGeom>
                  </pic:spPr>
                </pic:pic>
              </a:graphicData>
            </a:graphic>
          </wp:inline>
        </w:drawing>
      </w:r>
    </w:p>
    <w:p w14:paraId="59C928BA" w14:textId="77777777" w:rsidR="007D0C39" w:rsidRDefault="007D0C39" w:rsidP="00C45477">
      <w:pPr>
        <w:rPr>
          <w:bCs/>
        </w:rPr>
      </w:pPr>
    </w:p>
    <w:p w14:paraId="10F5BA8E" w14:textId="77777777" w:rsidR="007D0C39" w:rsidRDefault="007D0C39" w:rsidP="00C45477">
      <w:pPr>
        <w:rPr>
          <w:bCs/>
        </w:rPr>
      </w:pPr>
    </w:p>
    <w:p w14:paraId="01580298" w14:textId="6D7152FA" w:rsidR="007D0C39" w:rsidRDefault="007D0C39" w:rsidP="00C45477">
      <w:pPr>
        <w:rPr>
          <w:bCs/>
          <w:noProof/>
        </w:rPr>
      </w:pPr>
      <w:r>
        <w:rPr>
          <w:bCs/>
          <w:noProof/>
        </w:rPr>
        <w:lastRenderedPageBreak/>
        <w:drawing>
          <wp:inline distT="0" distB="0" distL="0" distR="0" wp14:anchorId="2F893543" wp14:editId="52405A25">
            <wp:extent cx="5943600" cy="3343275"/>
            <wp:effectExtent l="0" t="0" r="0" b="9525"/>
            <wp:docPr id="8809219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21903" name="Picture 880921903"/>
                    <pic:cNvPicPr/>
                  </pic:nvPicPr>
                  <pic:blipFill>
                    <a:blip r:embed="rId13"/>
                    <a:stretch>
                      <a:fillRect/>
                    </a:stretch>
                  </pic:blipFill>
                  <pic:spPr>
                    <a:xfrm>
                      <a:off x="0" y="0"/>
                      <a:ext cx="5943600" cy="3343275"/>
                    </a:xfrm>
                    <a:prstGeom prst="rect">
                      <a:avLst/>
                    </a:prstGeom>
                  </pic:spPr>
                </pic:pic>
              </a:graphicData>
            </a:graphic>
          </wp:inline>
        </w:drawing>
      </w:r>
    </w:p>
    <w:p w14:paraId="5ECC598C" w14:textId="77777777" w:rsidR="007D0C39" w:rsidRPr="007D0C39" w:rsidRDefault="007D0C39" w:rsidP="007D0C39"/>
    <w:p w14:paraId="31CDEA25" w14:textId="59F9579A" w:rsidR="007D0C39" w:rsidRDefault="002D68A8" w:rsidP="007D0C39">
      <w:pPr>
        <w:rPr>
          <w:bCs/>
          <w:noProof/>
        </w:rPr>
      </w:pPr>
      <w:r>
        <w:rPr>
          <w:bCs/>
          <w:noProof/>
        </w:rPr>
        <w:t>All fall residual herbicides caused significant injury to tillage radish with Dual Magnum being the only herbicide that caused less than 50% injury.</w:t>
      </w:r>
      <w:r w:rsidR="0060316A">
        <w:rPr>
          <w:bCs/>
          <w:noProof/>
        </w:rPr>
        <w:t xml:space="preserve"> Most other herbicides caused 100% injury of tilage radish. All herbicides caused significant injury of vetch. Zidua SC was the only herbicide that caused less than 70% injury of vetch. Wheat was slightly more tolerant to fall redidual herbicides. Valor EZ and Zidua SC caused 30% injury or less to winter wheat. Valor plus Zidua caused less than 50% injury of wintre wheat. All other herbicides caused greater than 60% injury to winter wheat.</w:t>
      </w:r>
    </w:p>
    <w:p w14:paraId="60EB5592" w14:textId="75DAE421" w:rsidR="007D0C39" w:rsidRPr="007D0C39" w:rsidRDefault="007D0C39" w:rsidP="007D0C39"/>
    <w:sectPr w:rsidR="007D0C39" w:rsidRPr="007D0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77"/>
    <w:rsid w:val="00102FBA"/>
    <w:rsid w:val="00113D75"/>
    <w:rsid w:val="002D14AC"/>
    <w:rsid w:val="002D68A8"/>
    <w:rsid w:val="002E6C86"/>
    <w:rsid w:val="002F2846"/>
    <w:rsid w:val="003D48D8"/>
    <w:rsid w:val="004B2134"/>
    <w:rsid w:val="004B2F65"/>
    <w:rsid w:val="004F06B7"/>
    <w:rsid w:val="0060316A"/>
    <w:rsid w:val="006B34B4"/>
    <w:rsid w:val="007118EB"/>
    <w:rsid w:val="007C3AB0"/>
    <w:rsid w:val="007D0C39"/>
    <w:rsid w:val="007E1834"/>
    <w:rsid w:val="008C7D4A"/>
    <w:rsid w:val="009904DF"/>
    <w:rsid w:val="009F3A00"/>
    <w:rsid w:val="00C45477"/>
    <w:rsid w:val="00FF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0789"/>
  <w15:chartTrackingRefBased/>
  <w15:docId w15:val="{6124D8E7-C69C-4563-AD51-26FD4055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4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4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54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54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54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54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54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4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4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54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54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54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54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54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54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4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4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54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5477"/>
    <w:rPr>
      <w:i/>
      <w:iCs/>
      <w:color w:val="404040" w:themeColor="text1" w:themeTint="BF"/>
    </w:rPr>
  </w:style>
  <w:style w:type="paragraph" w:styleId="ListParagraph">
    <w:name w:val="List Paragraph"/>
    <w:basedOn w:val="Normal"/>
    <w:uiPriority w:val="34"/>
    <w:qFormat/>
    <w:rsid w:val="00C45477"/>
    <w:pPr>
      <w:ind w:left="720"/>
      <w:contextualSpacing/>
    </w:pPr>
  </w:style>
  <w:style w:type="character" w:styleId="IntenseEmphasis">
    <w:name w:val="Intense Emphasis"/>
    <w:basedOn w:val="DefaultParagraphFont"/>
    <w:uiPriority w:val="21"/>
    <w:qFormat/>
    <w:rsid w:val="00C45477"/>
    <w:rPr>
      <w:i/>
      <w:iCs/>
      <w:color w:val="0F4761" w:themeColor="accent1" w:themeShade="BF"/>
    </w:rPr>
  </w:style>
  <w:style w:type="paragraph" w:styleId="IntenseQuote">
    <w:name w:val="Intense Quote"/>
    <w:basedOn w:val="Normal"/>
    <w:next w:val="Normal"/>
    <w:link w:val="IntenseQuoteChar"/>
    <w:uiPriority w:val="30"/>
    <w:qFormat/>
    <w:rsid w:val="00C45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477"/>
    <w:rPr>
      <w:i/>
      <w:iCs/>
      <w:color w:val="0F4761" w:themeColor="accent1" w:themeShade="BF"/>
    </w:rPr>
  </w:style>
  <w:style w:type="character" w:styleId="IntenseReference">
    <w:name w:val="Intense Reference"/>
    <w:basedOn w:val="DefaultParagraphFont"/>
    <w:uiPriority w:val="32"/>
    <w:qFormat/>
    <w:rsid w:val="00C45477"/>
    <w:rPr>
      <w:b/>
      <w:bCs/>
      <w:smallCaps/>
      <w:color w:val="0F4761" w:themeColor="accent1" w:themeShade="BF"/>
      <w:spacing w:val="5"/>
    </w:rPr>
  </w:style>
  <w:style w:type="character" w:styleId="Hyperlink">
    <w:name w:val="Hyperlink"/>
    <w:basedOn w:val="DefaultParagraphFont"/>
    <w:uiPriority w:val="99"/>
    <w:unhideWhenUsed/>
    <w:rsid w:val="00C45477"/>
    <w:rPr>
      <w:color w:val="467886" w:themeColor="hyperlink"/>
      <w:u w:val="single"/>
    </w:rPr>
  </w:style>
  <w:style w:type="character" w:styleId="UnresolvedMention">
    <w:name w:val="Unresolved Mention"/>
    <w:basedOn w:val="DefaultParagraphFont"/>
    <w:uiPriority w:val="99"/>
    <w:semiHidden/>
    <w:unhideWhenUsed/>
    <w:rsid w:val="00C4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hyperlink" Target="mailto:cjb777@msstate.edu" TargetMode="External"/><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i2@msstate.edu" TargetMode="External"/><Relationship Id="rId11" Type="http://schemas.openxmlformats.org/officeDocument/2006/relationships/image" Target="media/image4.EMF"/><Relationship Id="rId5" Type="http://schemas.openxmlformats.org/officeDocument/2006/relationships/hyperlink" Target="mailto:jason.bond@msstate.edu" TargetMode="Externa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hyperlink" Target="mailto:jgore@drec.msstate.edu" TargetMode="Externa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 Jeff</dc:creator>
  <cp:keywords/>
  <dc:description/>
  <cp:lastModifiedBy>L. Jason Krutz</cp:lastModifiedBy>
  <cp:revision>2</cp:revision>
  <dcterms:created xsi:type="dcterms:W3CDTF">2025-03-31T12:54:00Z</dcterms:created>
  <dcterms:modified xsi:type="dcterms:W3CDTF">2025-03-31T12:54:00Z</dcterms:modified>
</cp:coreProperties>
</file>