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AF27" w14:textId="3F10159C" w:rsidR="0016128F" w:rsidRDefault="0016128F" w:rsidP="00A9568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6128F">
        <w:rPr>
          <w:rFonts w:ascii="Times New Roman" w:hAnsi="Times New Roman" w:cs="Times New Roman"/>
          <w:b/>
          <w:bCs/>
          <w:color w:val="000000" w:themeColor="text1"/>
        </w:rPr>
        <w:t>Profitable Marketing Strategies for Mississippi Soybeans</w:t>
      </w:r>
      <w:r w:rsidR="002955FA">
        <w:rPr>
          <w:rFonts w:ascii="Times New Roman" w:hAnsi="Times New Roman" w:cs="Times New Roman"/>
          <w:b/>
          <w:bCs/>
          <w:color w:val="000000" w:themeColor="text1"/>
        </w:rPr>
        <w:t xml:space="preserve"> – Final Report</w:t>
      </w:r>
    </w:p>
    <w:p w14:paraId="667B4400" w14:textId="454F473C" w:rsidR="00530CDC" w:rsidRPr="00A95683" w:rsidRDefault="0096340E" w:rsidP="00A956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Project No. </w:t>
      </w:r>
      <w:r w:rsidR="00A95683">
        <w:rPr>
          <w:rFonts w:ascii="Times New Roman" w:hAnsi="Times New Roman" w:cs="Times New Roman"/>
          <w:b/>
          <w:bCs/>
        </w:rPr>
        <w:t>57-2024</w:t>
      </w:r>
    </w:p>
    <w:p w14:paraId="204920EB" w14:textId="27074B61" w:rsidR="00F2450D" w:rsidRDefault="006F5A74" w:rsidP="00F245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William E. Maples </w:t>
      </w:r>
      <w:hyperlink r:id="rId8" w:history="1">
        <w:r w:rsidR="00F2450D" w:rsidRPr="00AD1E11">
          <w:rPr>
            <w:rStyle w:val="Hyperlink"/>
            <w:rFonts w:ascii="Times New Roman" w:hAnsi="Times New Roman" w:cs="Times New Roman"/>
          </w:rPr>
          <w:t>wem87@msstate.edu</w:t>
        </w:r>
      </w:hyperlink>
    </w:p>
    <w:p w14:paraId="47B95F44" w14:textId="77777777" w:rsidR="00137BAF" w:rsidRDefault="00137BAF" w:rsidP="00F2450D">
      <w:pPr>
        <w:spacing w:after="0"/>
        <w:rPr>
          <w:rFonts w:ascii="Times New Roman" w:hAnsi="Times New Roman" w:cs="Times New Roman"/>
        </w:rPr>
      </w:pPr>
    </w:p>
    <w:p w14:paraId="2D428F89" w14:textId="55A94D18" w:rsidR="00137BAF" w:rsidRDefault="00137BAF" w:rsidP="00F245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Background</w:t>
      </w:r>
      <w:r w:rsidR="008B6212">
        <w:rPr>
          <w:rFonts w:ascii="Times New Roman" w:hAnsi="Times New Roman" w:cs="Times New Roman"/>
        </w:rPr>
        <w:tab/>
      </w:r>
    </w:p>
    <w:p w14:paraId="634B4095" w14:textId="485668CC" w:rsidR="00B20B49" w:rsidRDefault="00E62F97" w:rsidP="00137BAF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B6212">
        <w:rPr>
          <w:rFonts w:ascii="Times New Roman" w:hAnsi="Times New Roman" w:cs="Times New Roman"/>
        </w:rPr>
        <w:t xml:space="preserve">pproximately 5% of small producers and </w:t>
      </w:r>
      <w:r w:rsidR="00AA037A">
        <w:rPr>
          <w:rFonts w:ascii="Times New Roman" w:hAnsi="Times New Roman" w:cs="Times New Roman"/>
        </w:rPr>
        <w:t>27% of large producers utilize futures contracts to market their grain</w:t>
      </w:r>
      <w:r>
        <w:rPr>
          <w:rFonts w:ascii="Times New Roman" w:hAnsi="Times New Roman" w:cs="Times New Roman"/>
        </w:rPr>
        <w:t xml:space="preserve"> (USDA-ERS, 2020)</w:t>
      </w:r>
      <w:r w:rsidR="00AA037A">
        <w:rPr>
          <w:rFonts w:ascii="Times New Roman" w:hAnsi="Times New Roman" w:cs="Times New Roman"/>
        </w:rPr>
        <w:t>.</w:t>
      </w:r>
      <w:r w:rsidR="002B655E">
        <w:rPr>
          <w:rFonts w:ascii="Times New Roman" w:hAnsi="Times New Roman" w:cs="Times New Roman"/>
        </w:rPr>
        <w:t xml:space="preserve"> Additionally, </w:t>
      </w:r>
      <w:r w:rsidR="006C315F">
        <w:rPr>
          <w:rFonts w:ascii="Times New Roman" w:hAnsi="Times New Roman" w:cs="Times New Roman"/>
        </w:rPr>
        <w:t xml:space="preserve">in 2016, around 150,000 US farms used </w:t>
      </w:r>
      <w:r w:rsidR="00EB1E25">
        <w:rPr>
          <w:rFonts w:ascii="Times New Roman" w:hAnsi="Times New Roman" w:cs="Times New Roman"/>
        </w:rPr>
        <w:t>forward marketing contracts with their local elevators</w:t>
      </w:r>
      <w:r>
        <w:rPr>
          <w:rFonts w:ascii="Times New Roman" w:hAnsi="Times New Roman" w:cs="Times New Roman"/>
        </w:rPr>
        <w:t xml:space="preserve"> (MacDonald, 2020)</w:t>
      </w:r>
      <w:r w:rsidR="00EB1E25">
        <w:rPr>
          <w:rFonts w:ascii="Times New Roman" w:hAnsi="Times New Roman" w:cs="Times New Roman"/>
        </w:rPr>
        <w:t>.</w:t>
      </w:r>
      <w:r w:rsidR="00AA037A">
        <w:rPr>
          <w:rFonts w:ascii="Times New Roman" w:hAnsi="Times New Roman" w:cs="Times New Roman"/>
        </w:rPr>
        <w:t xml:space="preserve"> Futures</w:t>
      </w:r>
      <w:r w:rsidR="00EB1E25">
        <w:rPr>
          <w:rFonts w:ascii="Times New Roman" w:hAnsi="Times New Roman" w:cs="Times New Roman"/>
        </w:rPr>
        <w:t xml:space="preserve"> and forward</w:t>
      </w:r>
      <w:r w:rsidR="00AA037A">
        <w:rPr>
          <w:rFonts w:ascii="Times New Roman" w:hAnsi="Times New Roman" w:cs="Times New Roman"/>
        </w:rPr>
        <w:t xml:space="preserve"> contracts are </w:t>
      </w:r>
      <w:r w:rsidR="002F7F88">
        <w:rPr>
          <w:rFonts w:ascii="Times New Roman" w:hAnsi="Times New Roman" w:cs="Times New Roman"/>
        </w:rPr>
        <w:t>useful tools</w:t>
      </w:r>
      <w:r w:rsidR="00AA037A">
        <w:rPr>
          <w:rFonts w:ascii="Times New Roman" w:hAnsi="Times New Roman" w:cs="Times New Roman"/>
        </w:rPr>
        <w:t xml:space="preserve"> </w:t>
      </w:r>
      <w:r w:rsidR="00DA2EDC">
        <w:rPr>
          <w:rFonts w:ascii="Times New Roman" w:hAnsi="Times New Roman" w:cs="Times New Roman"/>
        </w:rPr>
        <w:t xml:space="preserve">for locking in prices for grain before harvest or for </w:t>
      </w:r>
      <w:r w:rsidR="00AA037A">
        <w:rPr>
          <w:rFonts w:ascii="Times New Roman" w:hAnsi="Times New Roman" w:cs="Times New Roman"/>
        </w:rPr>
        <w:t>stored grain after harvest.</w:t>
      </w:r>
      <w:r w:rsidR="000B0CA9">
        <w:rPr>
          <w:rFonts w:ascii="Times New Roman" w:hAnsi="Times New Roman" w:cs="Times New Roman"/>
        </w:rPr>
        <w:t xml:space="preserve"> In Mississippi, </w:t>
      </w:r>
      <w:r w:rsidR="00A853E7">
        <w:rPr>
          <w:rFonts w:ascii="Times New Roman" w:hAnsi="Times New Roman" w:cs="Times New Roman"/>
        </w:rPr>
        <w:t>over 2 million acres</w:t>
      </w:r>
      <w:r w:rsidR="00B43493">
        <w:rPr>
          <w:rFonts w:ascii="Times New Roman" w:hAnsi="Times New Roman" w:cs="Times New Roman"/>
        </w:rPr>
        <w:t xml:space="preserve"> of soybeans</w:t>
      </w:r>
      <w:r w:rsidR="00A853E7">
        <w:rPr>
          <w:rFonts w:ascii="Times New Roman" w:hAnsi="Times New Roman" w:cs="Times New Roman"/>
        </w:rPr>
        <w:t xml:space="preserve"> were harvested in 2024, </w:t>
      </w:r>
      <w:r w:rsidR="00DA2EDC">
        <w:rPr>
          <w:rFonts w:ascii="Times New Roman" w:hAnsi="Times New Roman" w:cs="Times New Roman"/>
        </w:rPr>
        <w:t xml:space="preserve">resulting in </w:t>
      </w:r>
      <w:r w:rsidR="00400F6F">
        <w:rPr>
          <w:rFonts w:ascii="Times New Roman" w:hAnsi="Times New Roman" w:cs="Times New Roman"/>
        </w:rPr>
        <w:t xml:space="preserve">the </w:t>
      </w:r>
      <w:r w:rsidR="00DA2EDC">
        <w:rPr>
          <w:rFonts w:ascii="Times New Roman" w:hAnsi="Times New Roman" w:cs="Times New Roman"/>
        </w:rPr>
        <w:t xml:space="preserve">production of </w:t>
      </w:r>
      <w:r w:rsidR="00A40D30">
        <w:rPr>
          <w:rFonts w:ascii="Times New Roman" w:hAnsi="Times New Roman" w:cs="Times New Roman"/>
        </w:rPr>
        <w:t>more than 127 million total bushels across over</w:t>
      </w:r>
      <w:r w:rsidR="00DA2EDC">
        <w:rPr>
          <w:rFonts w:ascii="Times New Roman" w:hAnsi="Times New Roman" w:cs="Times New Roman"/>
        </w:rPr>
        <w:t xml:space="preserve"> 2,900</w:t>
      </w:r>
      <w:r w:rsidR="00A853E7">
        <w:rPr>
          <w:rFonts w:ascii="Times New Roman" w:hAnsi="Times New Roman" w:cs="Times New Roman"/>
        </w:rPr>
        <w:t xml:space="preserve"> farms (</w:t>
      </w:r>
      <w:r w:rsidR="00BF2C03">
        <w:rPr>
          <w:rFonts w:ascii="Times New Roman" w:hAnsi="Times New Roman" w:cs="Times New Roman"/>
        </w:rPr>
        <w:t>MS Dept. of Ag &amp; Commerce, 2024).</w:t>
      </w:r>
      <w:r w:rsidR="00114737">
        <w:rPr>
          <w:rFonts w:ascii="Times New Roman" w:hAnsi="Times New Roman" w:cs="Times New Roman"/>
        </w:rPr>
        <w:t xml:space="preserve"> Over 79</w:t>
      </w:r>
      <w:r w:rsidR="001A78BD">
        <w:rPr>
          <w:rFonts w:ascii="Times New Roman" w:hAnsi="Times New Roman" w:cs="Times New Roman"/>
        </w:rPr>
        <w:t>% of Mississippi’s total soybean production for 2023 was in the Delta region (</w:t>
      </w:r>
      <w:r w:rsidR="00274F7D">
        <w:rPr>
          <w:rFonts w:ascii="Times New Roman" w:hAnsi="Times New Roman" w:cs="Times New Roman"/>
        </w:rPr>
        <w:t>MSPB, 2024)</w:t>
      </w:r>
      <w:r w:rsidR="00B20B49">
        <w:rPr>
          <w:rFonts w:ascii="Times New Roman" w:hAnsi="Times New Roman" w:cs="Times New Roman"/>
        </w:rPr>
        <w:t>.</w:t>
      </w:r>
      <w:r w:rsidR="002F7F88">
        <w:rPr>
          <w:rFonts w:ascii="Times New Roman" w:hAnsi="Times New Roman" w:cs="Times New Roman"/>
        </w:rPr>
        <w:t xml:space="preserve"> </w:t>
      </w:r>
      <w:r w:rsidR="00826819">
        <w:rPr>
          <w:rFonts w:ascii="Times New Roman" w:hAnsi="Times New Roman" w:cs="Times New Roman"/>
        </w:rPr>
        <w:t>A modest increase in the price received by soybean producers through improved marketing can have a substantial</w:t>
      </w:r>
      <w:r w:rsidR="002C27C0">
        <w:rPr>
          <w:rFonts w:ascii="Times New Roman" w:hAnsi="Times New Roman" w:cs="Times New Roman"/>
        </w:rPr>
        <w:t xml:space="preserve"> financial impact. </w:t>
      </w:r>
    </w:p>
    <w:p w14:paraId="2E31CB9F" w14:textId="77777777" w:rsidR="00916970" w:rsidRDefault="00916970" w:rsidP="00137BAF">
      <w:pPr>
        <w:spacing w:after="0"/>
        <w:ind w:firstLine="720"/>
        <w:rPr>
          <w:rFonts w:ascii="Times New Roman" w:hAnsi="Times New Roman" w:cs="Times New Roman"/>
        </w:rPr>
      </w:pPr>
    </w:p>
    <w:p w14:paraId="4FD6E76F" w14:textId="74AE9784" w:rsidR="00F2450D" w:rsidRDefault="00894601" w:rsidP="00137BAF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study, </w:t>
      </w:r>
      <w:r w:rsidR="00BF1133">
        <w:rPr>
          <w:rFonts w:ascii="Times New Roman" w:hAnsi="Times New Roman" w:cs="Times New Roman"/>
        </w:rPr>
        <w:t xml:space="preserve">various </w:t>
      </w:r>
      <w:r>
        <w:rPr>
          <w:rFonts w:ascii="Times New Roman" w:hAnsi="Times New Roman" w:cs="Times New Roman"/>
        </w:rPr>
        <w:t xml:space="preserve">pre-harvest and post-harvest </w:t>
      </w:r>
      <w:r w:rsidR="00BF1133">
        <w:rPr>
          <w:rFonts w:ascii="Times New Roman" w:hAnsi="Times New Roman" w:cs="Times New Roman"/>
        </w:rPr>
        <w:t xml:space="preserve">marketing strategies for Greenwood and Greenville </w:t>
      </w:r>
      <w:r w:rsidR="002F7F88">
        <w:rPr>
          <w:rFonts w:ascii="Times New Roman" w:hAnsi="Times New Roman" w:cs="Times New Roman"/>
        </w:rPr>
        <w:t xml:space="preserve">soybeans </w:t>
      </w:r>
      <w:r w:rsidR="00BF1133">
        <w:rPr>
          <w:rFonts w:ascii="Times New Roman" w:hAnsi="Times New Roman" w:cs="Times New Roman"/>
        </w:rPr>
        <w:t>are examined.</w:t>
      </w:r>
      <w:r w:rsidR="0075193C">
        <w:rPr>
          <w:rFonts w:ascii="Times New Roman" w:hAnsi="Times New Roman" w:cs="Times New Roman"/>
        </w:rPr>
        <w:t xml:space="preserve"> This research aims to </w:t>
      </w:r>
      <w:r w:rsidR="008B0F2E">
        <w:rPr>
          <w:rFonts w:ascii="Times New Roman" w:hAnsi="Times New Roman" w:cs="Times New Roman"/>
        </w:rPr>
        <w:t xml:space="preserve">determine </w:t>
      </w:r>
      <w:r w:rsidR="002F7F88">
        <w:rPr>
          <w:rFonts w:ascii="Times New Roman" w:hAnsi="Times New Roman" w:cs="Times New Roman"/>
        </w:rPr>
        <w:t xml:space="preserve">the </w:t>
      </w:r>
      <w:r w:rsidR="008B0F2E">
        <w:rPr>
          <w:rFonts w:ascii="Times New Roman" w:hAnsi="Times New Roman" w:cs="Times New Roman"/>
        </w:rPr>
        <w:t>profitability of various strategies through both routine and systematic m</w:t>
      </w:r>
      <w:r w:rsidR="00C13BD5">
        <w:rPr>
          <w:rFonts w:ascii="Times New Roman" w:hAnsi="Times New Roman" w:cs="Times New Roman"/>
        </w:rPr>
        <w:t xml:space="preserve">eans. Routine strategies are based on a strict time schedule, </w:t>
      </w:r>
      <w:r w:rsidR="002F7F88">
        <w:rPr>
          <w:rFonts w:ascii="Times New Roman" w:hAnsi="Times New Roman" w:cs="Times New Roman"/>
        </w:rPr>
        <w:t xml:space="preserve">whereas systematic strategies involve actively observing the market on a day-to-day basis </w:t>
      </w:r>
      <w:r w:rsidR="00C13BD5">
        <w:rPr>
          <w:rFonts w:ascii="Times New Roman" w:hAnsi="Times New Roman" w:cs="Times New Roman"/>
        </w:rPr>
        <w:t>and making sales based on current market prices.</w:t>
      </w:r>
      <w:r w:rsidR="00CC5093">
        <w:rPr>
          <w:rFonts w:ascii="Times New Roman" w:hAnsi="Times New Roman" w:cs="Times New Roman"/>
        </w:rPr>
        <w:t xml:space="preserve"> Marketing is important but often overlooked, and </w:t>
      </w:r>
      <w:r w:rsidR="00924E19">
        <w:rPr>
          <w:rFonts w:ascii="Times New Roman" w:hAnsi="Times New Roman" w:cs="Times New Roman"/>
        </w:rPr>
        <w:t>emotionally driven</w:t>
      </w:r>
      <w:r w:rsidR="008905C2">
        <w:rPr>
          <w:rFonts w:ascii="Times New Roman" w:hAnsi="Times New Roman" w:cs="Times New Roman"/>
        </w:rPr>
        <w:t xml:space="preserve"> decisions combined with the </w:t>
      </w:r>
      <w:r w:rsidR="002F7F88">
        <w:rPr>
          <w:rFonts w:ascii="Times New Roman" w:hAnsi="Times New Roman" w:cs="Times New Roman"/>
        </w:rPr>
        <w:t>near-infinite number of possible market decisions often make this task overwhelming and difficult for</w:t>
      </w:r>
      <w:r w:rsidR="00A9581E">
        <w:rPr>
          <w:rFonts w:ascii="Times New Roman" w:hAnsi="Times New Roman" w:cs="Times New Roman"/>
        </w:rPr>
        <w:t xml:space="preserve"> producers.</w:t>
      </w:r>
      <w:r w:rsidR="0047374F">
        <w:rPr>
          <w:rFonts w:ascii="Times New Roman" w:hAnsi="Times New Roman" w:cs="Times New Roman"/>
        </w:rPr>
        <w:t xml:space="preserve"> The </w:t>
      </w:r>
      <w:r w:rsidR="002F7F88">
        <w:rPr>
          <w:rFonts w:ascii="Times New Roman" w:hAnsi="Times New Roman" w:cs="Times New Roman"/>
        </w:rPr>
        <w:t xml:space="preserve">primary </w:t>
      </w:r>
      <w:r w:rsidR="0047374F">
        <w:rPr>
          <w:rFonts w:ascii="Times New Roman" w:hAnsi="Times New Roman" w:cs="Times New Roman"/>
        </w:rPr>
        <w:t>objective of t</w:t>
      </w:r>
      <w:r w:rsidR="007741E1">
        <w:rPr>
          <w:rFonts w:ascii="Times New Roman" w:hAnsi="Times New Roman" w:cs="Times New Roman"/>
        </w:rPr>
        <w:t xml:space="preserve">his study </w:t>
      </w:r>
      <w:r w:rsidR="0047374F">
        <w:rPr>
          <w:rFonts w:ascii="Times New Roman" w:hAnsi="Times New Roman" w:cs="Times New Roman"/>
        </w:rPr>
        <w:t xml:space="preserve">is </w:t>
      </w:r>
      <w:r w:rsidR="007741E1">
        <w:rPr>
          <w:rFonts w:ascii="Times New Roman" w:hAnsi="Times New Roman" w:cs="Times New Roman"/>
        </w:rPr>
        <w:t xml:space="preserve">to provide </w:t>
      </w:r>
      <w:r w:rsidR="00787D01">
        <w:rPr>
          <w:rFonts w:ascii="Times New Roman" w:hAnsi="Times New Roman" w:cs="Times New Roman"/>
        </w:rPr>
        <w:t>producers with concrete information that can be used to combat emotionally driven marketing and enhance the profitability of their soybean operations</w:t>
      </w:r>
      <w:r w:rsidR="00A113AD">
        <w:rPr>
          <w:rFonts w:ascii="Times New Roman" w:hAnsi="Times New Roman" w:cs="Times New Roman"/>
        </w:rPr>
        <w:t>.</w:t>
      </w:r>
      <w:r w:rsidR="00C8315D">
        <w:rPr>
          <w:rFonts w:ascii="Times New Roman" w:hAnsi="Times New Roman" w:cs="Times New Roman"/>
        </w:rPr>
        <w:t xml:space="preserve"> </w:t>
      </w:r>
    </w:p>
    <w:p w14:paraId="3964B577" w14:textId="77777777" w:rsidR="00916970" w:rsidRDefault="00916970" w:rsidP="00137BAF">
      <w:pPr>
        <w:spacing w:after="0"/>
        <w:ind w:firstLine="720"/>
        <w:rPr>
          <w:rFonts w:ascii="Times New Roman" w:hAnsi="Times New Roman" w:cs="Times New Roman"/>
        </w:rPr>
      </w:pPr>
    </w:p>
    <w:p w14:paraId="7E46B258" w14:textId="3ED4E5A9" w:rsidR="00787D01" w:rsidRDefault="00B20B49" w:rsidP="00B32183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all price data, historical futures prices were </w:t>
      </w:r>
      <w:r w:rsidR="006C236D">
        <w:rPr>
          <w:rFonts w:ascii="Times New Roman" w:hAnsi="Times New Roman" w:cs="Times New Roman"/>
        </w:rPr>
        <w:t>obtained from Barchart, and historical cash prices were sourced from the</w:t>
      </w:r>
      <w:r w:rsidR="00787D01">
        <w:rPr>
          <w:rFonts w:ascii="Times New Roman" w:hAnsi="Times New Roman" w:cs="Times New Roman"/>
        </w:rPr>
        <w:t xml:space="preserve"> USDA-AMS</w:t>
      </w:r>
      <w:r w:rsidR="006C236D">
        <w:rPr>
          <w:rFonts w:ascii="Times New Roman" w:hAnsi="Times New Roman" w:cs="Times New Roman"/>
        </w:rPr>
        <w:t xml:space="preserve"> Mississippi Grains Report Archive</w:t>
      </w:r>
      <w:r w:rsidR="00E62F97">
        <w:rPr>
          <w:rFonts w:ascii="Times New Roman" w:hAnsi="Times New Roman" w:cs="Times New Roman"/>
        </w:rPr>
        <w:t xml:space="preserve"> (Mississippi Daily Grains, 2008-2023)</w:t>
      </w:r>
      <w:r>
        <w:rPr>
          <w:rFonts w:ascii="Times New Roman" w:hAnsi="Times New Roman" w:cs="Times New Roman"/>
        </w:rPr>
        <w:t>. Greenwood and Greenville were selected as the two representative locations</w:t>
      </w:r>
      <w:r w:rsidR="00DB64FA">
        <w:rPr>
          <w:rFonts w:ascii="Times New Roman" w:hAnsi="Times New Roman" w:cs="Times New Roman"/>
        </w:rPr>
        <w:t xml:space="preserve"> due to </w:t>
      </w:r>
      <w:r w:rsidR="00265486">
        <w:rPr>
          <w:rFonts w:ascii="Times New Roman" w:hAnsi="Times New Roman" w:cs="Times New Roman"/>
        </w:rPr>
        <w:t>the availability of cash price data from AMS</w:t>
      </w:r>
      <w:r>
        <w:rPr>
          <w:rFonts w:ascii="Times New Roman" w:hAnsi="Times New Roman" w:cs="Times New Roman"/>
        </w:rPr>
        <w:t>.</w:t>
      </w:r>
      <w:r w:rsidR="006C236D">
        <w:rPr>
          <w:rFonts w:ascii="Times New Roman" w:hAnsi="Times New Roman" w:cs="Times New Roman"/>
        </w:rPr>
        <w:t xml:space="preserve"> For purposes of this study, producers are assumed to use futures hedging as their primary risk management strategy. </w:t>
      </w:r>
      <w:r w:rsidR="002C3846">
        <w:rPr>
          <w:rFonts w:ascii="Times New Roman" w:hAnsi="Times New Roman" w:cs="Times New Roman"/>
        </w:rPr>
        <w:t xml:space="preserve">The use of futures was chosen primarily due to the availability of </w:t>
      </w:r>
      <w:r w:rsidR="00F55D48">
        <w:rPr>
          <w:rFonts w:ascii="Times New Roman" w:hAnsi="Times New Roman" w:cs="Times New Roman"/>
        </w:rPr>
        <w:t xml:space="preserve">data, as a </w:t>
      </w:r>
      <w:r w:rsidR="00787D01">
        <w:rPr>
          <w:rFonts w:ascii="Times New Roman" w:hAnsi="Times New Roman" w:cs="Times New Roman"/>
        </w:rPr>
        <w:t>historical</w:t>
      </w:r>
      <w:r w:rsidR="00F55D48">
        <w:rPr>
          <w:rFonts w:ascii="Times New Roman" w:hAnsi="Times New Roman" w:cs="Times New Roman"/>
        </w:rPr>
        <w:t xml:space="preserve"> time series of forward contract prices for Mississippi does not exist.</w:t>
      </w:r>
      <w:r w:rsidR="00787D01">
        <w:rPr>
          <w:rFonts w:ascii="Times New Roman" w:hAnsi="Times New Roman" w:cs="Times New Roman"/>
        </w:rPr>
        <w:t xml:space="preserve"> Study results</w:t>
      </w:r>
      <w:r w:rsidR="00B32183">
        <w:rPr>
          <w:rFonts w:ascii="Times New Roman" w:hAnsi="Times New Roman" w:cs="Times New Roman"/>
        </w:rPr>
        <w:t>,</w:t>
      </w:r>
      <w:r w:rsidR="00787D01">
        <w:rPr>
          <w:rFonts w:ascii="Times New Roman" w:hAnsi="Times New Roman" w:cs="Times New Roman"/>
        </w:rPr>
        <w:t xml:space="preserve"> though, can be </w:t>
      </w:r>
      <w:r w:rsidR="00F10B1E">
        <w:rPr>
          <w:rFonts w:ascii="Times New Roman" w:hAnsi="Times New Roman" w:cs="Times New Roman"/>
        </w:rPr>
        <w:t xml:space="preserve">extrapolated to other risk management tools. </w:t>
      </w:r>
      <w:r w:rsidR="00826819">
        <w:rPr>
          <w:rFonts w:ascii="Times New Roman" w:hAnsi="Times New Roman" w:cs="Times New Roman"/>
        </w:rPr>
        <w:t xml:space="preserve"> </w:t>
      </w:r>
    </w:p>
    <w:p w14:paraId="75BC4E77" w14:textId="77777777" w:rsidR="00B32183" w:rsidRDefault="00B32183" w:rsidP="00B32183">
      <w:pPr>
        <w:spacing w:after="0"/>
        <w:ind w:firstLine="720"/>
        <w:rPr>
          <w:rFonts w:ascii="Times New Roman" w:hAnsi="Times New Roman" w:cs="Times New Roman"/>
        </w:rPr>
      </w:pPr>
    </w:p>
    <w:p w14:paraId="7F917929" w14:textId="77777777" w:rsidR="006836A6" w:rsidRDefault="006836A6" w:rsidP="00B32183">
      <w:pPr>
        <w:spacing w:after="0"/>
        <w:ind w:firstLine="720"/>
        <w:rPr>
          <w:rFonts w:ascii="Times New Roman" w:hAnsi="Times New Roman" w:cs="Times New Roman"/>
        </w:rPr>
      </w:pPr>
    </w:p>
    <w:p w14:paraId="1DF08FC4" w14:textId="77777777" w:rsidR="006836A6" w:rsidRDefault="006836A6" w:rsidP="00B32183">
      <w:pPr>
        <w:spacing w:after="0"/>
        <w:ind w:firstLine="720"/>
        <w:rPr>
          <w:rFonts w:ascii="Times New Roman" w:hAnsi="Times New Roman" w:cs="Times New Roman"/>
        </w:rPr>
      </w:pPr>
    </w:p>
    <w:p w14:paraId="77E4249E" w14:textId="77777777" w:rsidR="00B84C1F" w:rsidRDefault="00B84C1F" w:rsidP="00B32183">
      <w:pPr>
        <w:spacing w:after="0"/>
        <w:ind w:firstLine="720"/>
        <w:rPr>
          <w:rFonts w:ascii="Times New Roman" w:hAnsi="Times New Roman" w:cs="Times New Roman"/>
        </w:rPr>
      </w:pPr>
    </w:p>
    <w:p w14:paraId="040D5BB5" w14:textId="77777777" w:rsidR="006836A6" w:rsidRDefault="006836A6" w:rsidP="00B32183">
      <w:pPr>
        <w:spacing w:after="0"/>
        <w:ind w:firstLine="720"/>
        <w:rPr>
          <w:rFonts w:ascii="Times New Roman" w:hAnsi="Times New Roman" w:cs="Times New Roman"/>
        </w:rPr>
      </w:pPr>
    </w:p>
    <w:p w14:paraId="570181CE" w14:textId="69284348" w:rsidR="001E6323" w:rsidRDefault="00CA5D0F" w:rsidP="00193D3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Pre-Harvest </w:t>
      </w:r>
      <w:r w:rsidR="001E6323">
        <w:rPr>
          <w:rFonts w:ascii="Times New Roman" w:hAnsi="Times New Roman" w:cs="Times New Roman"/>
          <w:b/>
          <w:bCs/>
        </w:rPr>
        <w:t>Strategies</w:t>
      </w:r>
    </w:p>
    <w:p w14:paraId="54E11659" w14:textId="57322E4F" w:rsidR="00562749" w:rsidRDefault="00562749" w:rsidP="00136C66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The pre-harvest period </w:t>
      </w:r>
      <w:r w:rsidR="00EC7E51">
        <w:rPr>
          <w:rFonts w:ascii="Times New Roman" w:eastAsiaTheme="minorEastAsia" w:hAnsi="Times New Roman" w:cs="Times New Roman"/>
        </w:rPr>
        <w:t>is defined as</w:t>
      </w:r>
      <w:r>
        <w:rPr>
          <w:rFonts w:ascii="Times New Roman" w:eastAsiaTheme="minorEastAsia" w:hAnsi="Times New Roman" w:cs="Times New Roman"/>
        </w:rPr>
        <w:t xml:space="preserve"> the window between</w:t>
      </w:r>
      <w:r w:rsidR="00EC7E51">
        <w:rPr>
          <w:rFonts w:ascii="Times New Roman" w:eastAsiaTheme="minorEastAsia" w:hAnsi="Times New Roman" w:cs="Times New Roman"/>
        </w:rPr>
        <w:t xml:space="preserve"> the</w:t>
      </w:r>
      <w:r>
        <w:rPr>
          <w:rFonts w:ascii="Times New Roman" w:eastAsiaTheme="minorEastAsia" w:hAnsi="Times New Roman" w:cs="Times New Roman"/>
        </w:rPr>
        <w:t xml:space="preserve"> January </w:t>
      </w:r>
      <w:r w:rsidR="00A57259">
        <w:rPr>
          <w:rFonts w:ascii="Times New Roman" w:eastAsiaTheme="minorEastAsia" w:hAnsi="Times New Roman" w:cs="Times New Roman"/>
        </w:rPr>
        <w:t xml:space="preserve">preceding planting and harvest time, which typically occurs in the 40th week of the year, corresponding to late September or </w:t>
      </w:r>
      <w:r>
        <w:rPr>
          <w:rFonts w:ascii="Times New Roman" w:eastAsiaTheme="minorEastAsia" w:hAnsi="Times New Roman" w:cs="Times New Roman"/>
        </w:rPr>
        <w:t xml:space="preserve">early October. Based on the strategy being implemented, the producer can begin </w:t>
      </w:r>
      <w:r w:rsidR="00E14DD1">
        <w:rPr>
          <w:rFonts w:ascii="Times New Roman" w:eastAsiaTheme="minorEastAsia" w:hAnsi="Times New Roman" w:cs="Times New Roman"/>
        </w:rPr>
        <w:t xml:space="preserve">marketing on January 1st or wait </w:t>
      </w:r>
      <w:r>
        <w:rPr>
          <w:rFonts w:ascii="Times New Roman" w:eastAsiaTheme="minorEastAsia" w:hAnsi="Times New Roman" w:cs="Times New Roman"/>
        </w:rPr>
        <w:t>until the final day before harvest. In all of these strategies, 20% of yield is sold</w:t>
      </w:r>
      <w:r w:rsidR="0002172E">
        <w:rPr>
          <w:rFonts w:ascii="Times New Roman" w:eastAsiaTheme="minorEastAsia" w:hAnsi="Times New Roman" w:cs="Times New Roman"/>
        </w:rPr>
        <w:t xml:space="preserve"> at harvest.</w:t>
      </w:r>
      <w:r>
        <w:rPr>
          <w:rFonts w:ascii="Times New Roman" w:eastAsiaTheme="minorEastAsia" w:hAnsi="Times New Roman" w:cs="Times New Roman"/>
        </w:rPr>
        <w:t xml:space="preserve"> There are four pre-harvest strategies, and they are as follows:</w:t>
      </w:r>
    </w:p>
    <w:p w14:paraId="7DBFB4A5" w14:textId="77777777" w:rsidR="0066639B" w:rsidRDefault="0066639B" w:rsidP="00562749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3F532612" w14:textId="640BD7B5" w:rsidR="004E5EAC" w:rsidRPr="004E5EAC" w:rsidRDefault="004E5EAC" w:rsidP="004E5EA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Harvest</w:t>
      </w:r>
      <w:r>
        <w:rPr>
          <w:rFonts w:ascii="Times New Roman" w:eastAsiaTheme="minorEastAsia" w:hAnsi="Times New Roman" w:cs="Times New Roman"/>
        </w:rPr>
        <w:t>: 100% of bushels are sold at the harvest cash price; the control group</w:t>
      </w:r>
    </w:p>
    <w:p w14:paraId="1313BB22" w14:textId="53BBFF42" w:rsidR="00562749" w:rsidRDefault="00562749" w:rsidP="005627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Target</w:t>
      </w:r>
      <w:r>
        <w:rPr>
          <w:rFonts w:ascii="Times New Roman" w:eastAsiaTheme="minorEastAsia" w:hAnsi="Times New Roman" w:cs="Times New Roman"/>
        </w:rPr>
        <w:t xml:space="preserve">: </w:t>
      </w:r>
      <w:r w:rsidR="0012049F">
        <w:rPr>
          <w:rFonts w:ascii="Times New Roman" w:eastAsiaTheme="minorEastAsia" w:hAnsi="Times New Roman" w:cs="Times New Roman"/>
        </w:rPr>
        <w:t xml:space="preserve">The </w:t>
      </w:r>
      <w:r>
        <w:rPr>
          <w:rFonts w:ascii="Times New Roman" w:eastAsiaTheme="minorEastAsia" w:hAnsi="Times New Roman" w:cs="Times New Roman"/>
        </w:rPr>
        <w:t xml:space="preserve">producer sells in 20% increments at </w:t>
      </w:r>
      <w:r w:rsidR="00831CB2">
        <w:rPr>
          <w:rFonts w:ascii="Times New Roman" w:eastAsiaTheme="minorEastAsia" w:hAnsi="Times New Roman" w:cs="Times New Roman"/>
        </w:rPr>
        <w:t>four</w:t>
      </w:r>
      <w:r>
        <w:rPr>
          <w:rFonts w:ascii="Times New Roman" w:eastAsiaTheme="minorEastAsia" w:hAnsi="Times New Roman" w:cs="Times New Roman"/>
        </w:rPr>
        <w:t xml:space="preserve"> </w:t>
      </w:r>
      <w:r w:rsidR="005F6CB9">
        <w:rPr>
          <w:rFonts w:ascii="Times New Roman" w:eastAsiaTheme="minorEastAsia" w:hAnsi="Times New Roman" w:cs="Times New Roman"/>
        </w:rPr>
        <w:t xml:space="preserve">price </w:t>
      </w:r>
      <w:r>
        <w:rPr>
          <w:rFonts w:ascii="Times New Roman" w:eastAsiaTheme="minorEastAsia" w:hAnsi="Times New Roman" w:cs="Times New Roman"/>
        </w:rPr>
        <w:t>targets for each period</w:t>
      </w:r>
      <w:r w:rsidR="00665CE6">
        <w:rPr>
          <w:rFonts w:ascii="Times New Roman" w:eastAsiaTheme="minorEastAsia" w:hAnsi="Times New Roman" w:cs="Times New Roman"/>
        </w:rPr>
        <w:t xml:space="preserve">. If a higher target is reached before a lower target, the producer will sell all bushels up to that target; higher targets override lower targets. The remaining 20% is </w:t>
      </w:r>
      <w:r>
        <w:rPr>
          <w:rFonts w:ascii="Times New Roman" w:eastAsiaTheme="minorEastAsia" w:hAnsi="Times New Roman" w:cs="Times New Roman"/>
        </w:rPr>
        <w:t xml:space="preserve">sold at </w:t>
      </w:r>
      <w:r w:rsidR="00831CB2">
        <w:rPr>
          <w:rFonts w:ascii="Times New Roman" w:eastAsiaTheme="minorEastAsia" w:hAnsi="Times New Roman" w:cs="Times New Roman"/>
        </w:rPr>
        <w:t xml:space="preserve">the </w:t>
      </w:r>
      <w:r>
        <w:rPr>
          <w:rFonts w:ascii="Times New Roman" w:eastAsiaTheme="minorEastAsia" w:hAnsi="Times New Roman" w:cs="Times New Roman"/>
        </w:rPr>
        <w:t xml:space="preserve">cash </w:t>
      </w:r>
      <w:r w:rsidR="00831CB2">
        <w:rPr>
          <w:rFonts w:ascii="Times New Roman" w:eastAsiaTheme="minorEastAsia" w:hAnsi="Times New Roman" w:cs="Times New Roman"/>
        </w:rPr>
        <w:t>price.</w:t>
      </w:r>
    </w:p>
    <w:p w14:paraId="76FEC397" w14:textId="26EF4169" w:rsidR="00562749" w:rsidRDefault="00562749" w:rsidP="005627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MAMJ</w:t>
      </w:r>
      <w:r>
        <w:rPr>
          <w:rFonts w:ascii="Times New Roman" w:eastAsiaTheme="minorEastAsia" w:hAnsi="Times New Roman" w:cs="Times New Roman"/>
        </w:rPr>
        <w:t xml:space="preserve">: </w:t>
      </w:r>
      <w:r w:rsidR="00665CE6">
        <w:rPr>
          <w:rFonts w:ascii="Times New Roman" w:eastAsiaTheme="minorEastAsia" w:hAnsi="Times New Roman" w:cs="Times New Roman"/>
        </w:rPr>
        <w:t xml:space="preserve">The </w:t>
      </w:r>
      <w:r>
        <w:rPr>
          <w:rFonts w:ascii="Times New Roman" w:eastAsiaTheme="minorEastAsia" w:hAnsi="Times New Roman" w:cs="Times New Roman"/>
        </w:rPr>
        <w:t xml:space="preserve">producer sells in 20% increments at </w:t>
      </w:r>
      <w:r w:rsidR="00665CE6">
        <w:rPr>
          <w:rFonts w:ascii="Times New Roman" w:eastAsiaTheme="minorEastAsia" w:hAnsi="Times New Roman" w:cs="Times New Roman"/>
        </w:rPr>
        <w:t>four</w:t>
      </w:r>
      <w:r>
        <w:rPr>
          <w:rFonts w:ascii="Times New Roman" w:eastAsiaTheme="minorEastAsia" w:hAnsi="Times New Roman" w:cs="Times New Roman"/>
        </w:rPr>
        <w:t xml:space="preserve"> specific times, the first week of March, April, May, </w:t>
      </w:r>
      <w:r w:rsidR="00CF7D7B">
        <w:rPr>
          <w:rFonts w:ascii="Times New Roman" w:eastAsiaTheme="minorEastAsia" w:hAnsi="Times New Roman" w:cs="Times New Roman"/>
        </w:rPr>
        <w:t xml:space="preserve">and </w:t>
      </w:r>
      <w:r>
        <w:rPr>
          <w:rFonts w:ascii="Times New Roman" w:eastAsiaTheme="minorEastAsia" w:hAnsi="Times New Roman" w:cs="Times New Roman"/>
        </w:rPr>
        <w:t>June, respectively, as long as the price is above their breakeven price</w:t>
      </w:r>
    </w:p>
    <w:p w14:paraId="26A2798F" w14:textId="77777777" w:rsidR="00562749" w:rsidRDefault="00562749" w:rsidP="005627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Theme="minorEastAsia" w:hAnsi="Times New Roman" w:cs="Times New Roman"/>
        </w:rPr>
      </w:pPr>
      <w:r w:rsidRPr="001F31D3">
        <w:rPr>
          <w:rFonts w:ascii="Times New Roman" w:eastAsiaTheme="minorEastAsia" w:hAnsi="Times New Roman" w:cs="Times New Roman"/>
          <w:u w:val="single"/>
        </w:rPr>
        <w:t>Target-Time Hybrid</w:t>
      </w:r>
      <w:r>
        <w:rPr>
          <w:rFonts w:ascii="Times New Roman" w:eastAsiaTheme="minorEastAsia" w:hAnsi="Times New Roman" w:cs="Times New Roman"/>
        </w:rPr>
        <w:t>: a mix of the Target and MAMJ strategy, where the producer sells at the 20% increments if they haven’t hit one of their pricing targets by that date</w:t>
      </w:r>
    </w:p>
    <w:p w14:paraId="2405D109" w14:textId="77777777" w:rsidR="001E6323" w:rsidRDefault="001E6323" w:rsidP="00193D38">
      <w:pPr>
        <w:spacing w:after="0"/>
        <w:rPr>
          <w:rFonts w:ascii="Times New Roman" w:hAnsi="Times New Roman" w:cs="Times New Roman"/>
          <w:b/>
          <w:bCs/>
        </w:rPr>
      </w:pPr>
    </w:p>
    <w:p w14:paraId="3898C830" w14:textId="065B40AE" w:rsidR="0066639B" w:rsidRDefault="00F42418" w:rsidP="00F4241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target strategy, </w:t>
      </w:r>
      <w:r w:rsidR="00CF7D7B">
        <w:rPr>
          <w:rFonts w:ascii="Times New Roman" w:hAnsi="Times New Roman" w:cs="Times New Roman"/>
        </w:rPr>
        <w:t xml:space="preserve">pricing targets are derived from a certain percentage above the break-even cost, which is simply the cost of production per acre divided by the </w:t>
      </w:r>
      <w:r>
        <w:rPr>
          <w:rFonts w:ascii="Times New Roman" w:hAnsi="Times New Roman" w:cs="Times New Roman"/>
        </w:rPr>
        <w:t>expected yield per acre</w:t>
      </w:r>
      <w:r w:rsidR="005F6CB9">
        <w:rPr>
          <w:rFonts w:ascii="Times New Roman" w:hAnsi="Times New Roman" w:cs="Times New Roman"/>
        </w:rPr>
        <w:t xml:space="preserve"> (Mississippi State Extension)</w:t>
      </w:r>
      <w:r w:rsidR="00773FF3">
        <w:rPr>
          <w:rFonts w:ascii="Times New Roman" w:hAnsi="Times New Roman" w:cs="Times New Roman"/>
        </w:rPr>
        <w:t>.</w:t>
      </w:r>
      <w:r w:rsidR="008548EE">
        <w:rPr>
          <w:rFonts w:ascii="Times New Roman" w:hAnsi="Times New Roman" w:cs="Times New Roman"/>
        </w:rPr>
        <w:t xml:space="preserve"> The four targets are breakeven, followed by 10</w:t>
      </w:r>
      <w:r w:rsidR="00CF7D7B">
        <w:rPr>
          <w:rFonts w:ascii="Times New Roman" w:hAnsi="Times New Roman" w:cs="Times New Roman"/>
        </w:rPr>
        <w:t>%, 20%, and 30%</w:t>
      </w:r>
      <w:r w:rsidR="008548EE">
        <w:rPr>
          <w:rFonts w:ascii="Times New Roman" w:hAnsi="Times New Roman" w:cs="Times New Roman"/>
        </w:rPr>
        <w:t xml:space="preserve"> above breakeven, respectively.</w:t>
      </w:r>
    </w:p>
    <w:p w14:paraId="3960CB4B" w14:textId="77777777" w:rsidR="00916970" w:rsidRDefault="00916970" w:rsidP="00F42418">
      <w:pPr>
        <w:spacing w:after="0"/>
        <w:ind w:firstLine="720"/>
        <w:rPr>
          <w:rFonts w:ascii="Times New Roman" w:hAnsi="Times New Roman" w:cs="Times New Roman"/>
        </w:rPr>
      </w:pPr>
    </w:p>
    <w:p w14:paraId="3E9EAE4F" w14:textId="5170A312" w:rsidR="00AD4E48" w:rsidRDefault="00AD4E48" w:rsidP="00F42418">
      <w:pPr>
        <w:spacing w:after="0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 results of these strategies for Greenwood, MS</w:t>
      </w:r>
      <w:r w:rsidR="00CB2EA7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</w:t>
      </w:r>
      <w:r w:rsidR="00EC0E20">
        <w:rPr>
          <w:rFonts w:ascii="Times New Roman" w:eastAsiaTheme="minorEastAsia" w:hAnsi="Times New Roman" w:cs="Times New Roman"/>
        </w:rPr>
        <w:t>can be found in Table 1.</w:t>
      </w:r>
      <w:r>
        <w:rPr>
          <w:rFonts w:ascii="Times New Roman" w:eastAsiaTheme="minorEastAsia" w:hAnsi="Times New Roman" w:cs="Times New Roman"/>
        </w:rPr>
        <w:t xml:space="preserve"> </w:t>
      </w:r>
      <w:r w:rsidR="0071122B">
        <w:rPr>
          <w:rFonts w:ascii="Times New Roman" w:eastAsiaTheme="minorEastAsia" w:hAnsi="Times New Roman" w:cs="Times New Roman"/>
        </w:rPr>
        <w:t xml:space="preserve">Aside </w:t>
      </w:r>
      <w:r w:rsidR="00CB2EA7">
        <w:rPr>
          <w:rFonts w:ascii="Times New Roman" w:eastAsiaTheme="minorEastAsia" w:hAnsi="Times New Roman" w:cs="Times New Roman"/>
        </w:rPr>
        <w:t xml:space="preserve">from </w:t>
      </w:r>
      <w:r w:rsidR="0071122B">
        <w:rPr>
          <w:rFonts w:ascii="Times New Roman" w:eastAsiaTheme="minorEastAsia" w:hAnsi="Times New Roman" w:cs="Times New Roman"/>
        </w:rPr>
        <w:t xml:space="preserve">2012, the cash market strategy performed the lowest with an average price of $10.39/bu and the timed March-June strategy performed with the highest average price of $10.76/bu. As </w:t>
      </w:r>
      <w:r w:rsidR="00FE4FED">
        <w:rPr>
          <w:rFonts w:ascii="Times New Roman" w:eastAsiaTheme="minorEastAsia" w:hAnsi="Times New Roman" w:cs="Times New Roman"/>
        </w:rPr>
        <w:t>for consistency, the hybrid strategy had the lowest standard deviation at $1.32</w:t>
      </w:r>
      <w:r w:rsidR="00CB2EA7">
        <w:rPr>
          <w:rFonts w:ascii="Times New Roman" w:eastAsiaTheme="minorEastAsia" w:hAnsi="Times New Roman" w:cs="Times New Roman"/>
        </w:rPr>
        <w:t>/bu, while the cash market strategy had the highest at $1.94/bu</w:t>
      </w:r>
      <w:r w:rsidR="0071122B">
        <w:rPr>
          <w:rFonts w:ascii="Times New Roman" w:eastAsiaTheme="minorEastAsia" w:hAnsi="Times New Roman" w:cs="Times New Roman"/>
        </w:rPr>
        <w:t>. The cash market strategy also had the lowest minimum received price out of the four strategies</w:t>
      </w:r>
      <w:r w:rsidR="00747A9B">
        <w:rPr>
          <w:rFonts w:ascii="Times New Roman" w:eastAsiaTheme="minorEastAsia" w:hAnsi="Times New Roman" w:cs="Times New Roman"/>
        </w:rPr>
        <w:t>, coming in at $7.68/bu.</w:t>
      </w:r>
    </w:p>
    <w:p w14:paraId="176CB8AE" w14:textId="77777777" w:rsidR="00916970" w:rsidRDefault="00916970" w:rsidP="00F42418">
      <w:pPr>
        <w:spacing w:after="0"/>
        <w:ind w:firstLine="720"/>
        <w:rPr>
          <w:rFonts w:ascii="Times New Roman" w:eastAsiaTheme="minorEastAsia" w:hAnsi="Times New Roman" w:cs="Times New Roman"/>
        </w:rPr>
      </w:pPr>
    </w:p>
    <w:p w14:paraId="210B2714" w14:textId="68E58AFC" w:rsidR="00D76090" w:rsidRDefault="004A2B19" w:rsidP="00D76090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 results of these strategies for Greenville,</w:t>
      </w:r>
      <w:r w:rsidR="00DF0BF5">
        <w:rPr>
          <w:rFonts w:ascii="Times New Roman" w:eastAsiaTheme="minorEastAsia" w:hAnsi="Times New Roman" w:cs="Times New Roman"/>
        </w:rPr>
        <w:t xml:space="preserve"> </w:t>
      </w:r>
      <w:r w:rsidR="00CB2EA7">
        <w:rPr>
          <w:rFonts w:ascii="Times New Roman" w:eastAsiaTheme="minorEastAsia" w:hAnsi="Times New Roman" w:cs="Times New Roman"/>
        </w:rPr>
        <w:t>MS, are presented in Table 2. Again, aside from 2012, the cash market strategy yielded</w:t>
      </w:r>
      <w:r w:rsidR="00D76090">
        <w:rPr>
          <w:rFonts w:ascii="Times New Roman" w:eastAsiaTheme="minorEastAsia" w:hAnsi="Times New Roman" w:cs="Times New Roman"/>
        </w:rPr>
        <w:t xml:space="preserve"> the lowest average price of </w:t>
      </w:r>
      <w:r w:rsidR="000D0B53">
        <w:rPr>
          <w:rFonts w:ascii="Times New Roman" w:eastAsiaTheme="minorEastAsia" w:hAnsi="Times New Roman" w:cs="Times New Roman"/>
        </w:rPr>
        <w:t>$10.67/bu</w:t>
      </w:r>
      <w:r w:rsidR="00D76090">
        <w:rPr>
          <w:rFonts w:ascii="Times New Roman" w:eastAsiaTheme="minorEastAsia" w:hAnsi="Times New Roman" w:cs="Times New Roman"/>
        </w:rPr>
        <w:t xml:space="preserve">. </w:t>
      </w:r>
      <w:r w:rsidR="000D0B53">
        <w:rPr>
          <w:rFonts w:ascii="Times New Roman" w:eastAsiaTheme="minorEastAsia" w:hAnsi="Times New Roman" w:cs="Times New Roman"/>
        </w:rPr>
        <w:t>T</w:t>
      </w:r>
      <w:r w:rsidR="00D76090">
        <w:rPr>
          <w:rFonts w:ascii="Times New Roman" w:eastAsiaTheme="minorEastAsia" w:hAnsi="Times New Roman" w:cs="Times New Roman"/>
        </w:rPr>
        <w:t>he dominant strategy was the same as Greenwood</w:t>
      </w:r>
      <w:r w:rsidR="000D0B53">
        <w:rPr>
          <w:rFonts w:ascii="Times New Roman" w:eastAsiaTheme="minorEastAsia" w:hAnsi="Times New Roman" w:cs="Times New Roman"/>
        </w:rPr>
        <w:t>, and</w:t>
      </w:r>
      <w:r w:rsidR="00D76090">
        <w:rPr>
          <w:rFonts w:ascii="Times New Roman" w:eastAsiaTheme="minorEastAsia" w:hAnsi="Times New Roman" w:cs="Times New Roman"/>
        </w:rPr>
        <w:t xml:space="preserve"> the timed March-June incremental sales strategy</w:t>
      </w:r>
      <w:r w:rsidR="000D0B53">
        <w:rPr>
          <w:rFonts w:ascii="Times New Roman" w:eastAsiaTheme="minorEastAsia" w:hAnsi="Times New Roman" w:cs="Times New Roman"/>
        </w:rPr>
        <w:t xml:space="preserve"> resulted in the highest average price of $11.03/bu</w:t>
      </w:r>
      <w:r w:rsidR="00D76090">
        <w:rPr>
          <w:rFonts w:ascii="Times New Roman" w:eastAsiaTheme="minorEastAsia" w:hAnsi="Times New Roman" w:cs="Times New Roman"/>
        </w:rPr>
        <w:t>. The hybrid strategy had the lowest standard deviation</w:t>
      </w:r>
      <w:r w:rsidR="000D0B53">
        <w:rPr>
          <w:rFonts w:ascii="Times New Roman" w:eastAsiaTheme="minorEastAsia" w:hAnsi="Times New Roman" w:cs="Times New Roman"/>
        </w:rPr>
        <w:t xml:space="preserve"> of $1.26/bu</w:t>
      </w:r>
      <w:r w:rsidR="00D76090">
        <w:rPr>
          <w:rFonts w:ascii="Times New Roman" w:eastAsiaTheme="minorEastAsia" w:hAnsi="Times New Roman" w:cs="Times New Roman"/>
        </w:rPr>
        <w:t>, and the cash market strategy had the highest</w:t>
      </w:r>
      <w:r w:rsidR="00547AF8">
        <w:rPr>
          <w:rFonts w:ascii="Times New Roman" w:eastAsiaTheme="minorEastAsia" w:hAnsi="Times New Roman" w:cs="Times New Roman"/>
        </w:rPr>
        <w:t xml:space="preserve"> at $1.90/bu. </w:t>
      </w:r>
      <w:r w:rsidR="00EF76D6">
        <w:rPr>
          <w:rFonts w:ascii="Times New Roman" w:eastAsiaTheme="minorEastAsia" w:hAnsi="Times New Roman" w:cs="Times New Roman"/>
        </w:rPr>
        <w:t>Similar to</w:t>
      </w:r>
      <w:r w:rsidR="00547AF8">
        <w:rPr>
          <w:rFonts w:ascii="Times New Roman" w:eastAsiaTheme="minorEastAsia" w:hAnsi="Times New Roman" w:cs="Times New Roman"/>
        </w:rPr>
        <w:t xml:space="preserve"> Greenwood, the cash market strategy also had the lowest minimum price, coming in at $</w:t>
      </w:r>
      <w:r w:rsidR="005402DA">
        <w:rPr>
          <w:rFonts w:ascii="Times New Roman" w:eastAsiaTheme="minorEastAsia" w:hAnsi="Times New Roman" w:cs="Times New Roman"/>
        </w:rPr>
        <w:t>7.98/bu.</w:t>
      </w:r>
    </w:p>
    <w:p w14:paraId="60FB1A1E" w14:textId="77777777" w:rsidR="00EF76D6" w:rsidRDefault="00EF76D6" w:rsidP="005402DA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0F1083D4" w14:textId="77777777" w:rsidR="001762AC" w:rsidRDefault="001762AC" w:rsidP="005402DA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56747E8E" w14:textId="77777777" w:rsidR="001762AC" w:rsidRDefault="001762AC" w:rsidP="005402DA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6E67156D" w14:textId="77777777" w:rsidR="001762AC" w:rsidRDefault="001762AC" w:rsidP="005402DA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335DF463" w14:textId="77777777" w:rsidR="00B84C1F" w:rsidRDefault="00B84C1F" w:rsidP="005402DA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7AD87FEB" w14:textId="1AA126E6" w:rsidR="005402DA" w:rsidRDefault="005402DA" w:rsidP="005402DA">
      <w:pPr>
        <w:spacing w:after="0" w:line="276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lastRenderedPageBreak/>
        <w:t>Post-Harvest Strategies</w:t>
      </w:r>
    </w:p>
    <w:p w14:paraId="2D78B7C5" w14:textId="08759456" w:rsidR="005402DA" w:rsidRDefault="00136C66" w:rsidP="005402DA">
      <w:p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The post-harvest period in this report refers to</w:t>
      </w:r>
      <w:r w:rsidR="00335116">
        <w:rPr>
          <w:rFonts w:ascii="Times New Roman" w:eastAsiaTheme="minorEastAsia" w:hAnsi="Times New Roman" w:cs="Times New Roman"/>
        </w:rPr>
        <w:t xml:space="preserve"> the 12-month period after harvest.</w:t>
      </w:r>
      <w:r>
        <w:rPr>
          <w:rFonts w:ascii="Times New Roman" w:eastAsiaTheme="minorEastAsia" w:hAnsi="Times New Roman" w:cs="Times New Roman"/>
        </w:rPr>
        <w:t xml:space="preserve"> </w:t>
      </w:r>
      <w:r w:rsidR="003D0092">
        <w:rPr>
          <w:rFonts w:ascii="Times New Roman" w:eastAsiaTheme="minorEastAsia" w:hAnsi="Times New Roman" w:cs="Times New Roman"/>
        </w:rPr>
        <w:t xml:space="preserve">In all </w:t>
      </w:r>
      <w:r w:rsidR="00C97B61">
        <w:rPr>
          <w:rFonts w:ascii="Times New Roman" w:eastAsiaTheme="minorEastAsia" w:hAnsi="Times New Roman" w:cs="Times New Roman"/>
        </w:rPr>
        <w:t>four of</w:t>
      </w:r>
      <w:r w:rsidR="003D0092">
        <w:rPr>
          <w:rFonts w:ascii="Times New Roman" w:eastAsiaTheme="minorEastAsia" w:hAnsi="Times New Roman" w:cs="Times New Roman"/>
        </w:rPr>
        <w:t xml:space="preserve"> the post-harvest strategies outlined, 20% of </w:t>
      </w:r>
      <w:r w:rsidR="00335116">
        <w:rPr>
          <w:rFonts w:ascii="Times New Roman" w:eastAsiaTheme="minorEastAsia" w:hAnsi="Times New Roman" w:cs="Times New Roman"/>
        </w:rPr>
        <w:t xml:space="preserve">production </w:t>
      </w:r>
      <w:r w:rsidR="003D0092">
        <w:rPr>
          <w:rFonts w:ascii="Times New Roman" w:eastAsiaTheme="minorEastAsia" w:hAnsi="Times New Roman" w:cs="Times New Roman"/>
        </w:rPr>
        <w:t>is sold immediately at the harvest cash market price due to the likelihood that producers</w:t>
      </w:r>
      <w:r w:rsidR="00335116">
        <w:rPr>
          <w:rFonts w:ascii="Times New Roman" w:eastAsiaTheme="minorEastAsia" w:hAnsi="Times New Roman" w:cs="Times New Roman"/>
        </w:rPr>
        <w:t xml:space="preserve"> do not</w:t>
      </w:r>
      <w:r w:rsidR="003D0092">
        <w:rPr>
          <w:rFonts w:ascii="Times New Roman" w:eastAsiaTheme="minorEastAsia" w:hAnsi="Times New Roman" w:cs="Times New Roman"/>
        </w:rPr>
        <w:t xml:space="preserve"> have enough on-farm storage for 100% of their </w:t>
      </w:r>
      <w:r w:rsidR="00335116">
        <w:rPr>
          <w:rFonts w:ascii="Times New Roman" w:eastAsiaTheme="minorEastAsia" w:hAnsi="Times New Roman" w:cs="Times New Roman"/>
        </w:rPr>
        <w:t>crop</w:t>
      </w:r>
      <w:r w:rsidR="003D0092">
        <w:rPr>
          <w:rFonts w:ascii="Times New Roman" w:eastAsiaTheme="minorEastAsia" w:hAnsi="Times New Roman" w:cs="Times New Roman"/>
        </w:rPr>
        <w:t>.</w:t>
      </w:r>
      <w:r w:rsidR="007D4D35">
        <w:rPr>
          <w:rFonts w:ascii="Times New Roman" w:eastAsiaTheme="minorEastAsia" w:hAnsi="Times New Roman" w:cs="Times New Roman"/>
        </w:rPr>
        <w:t xml:space="preserve"> </w:t>
      </w:r>
      <w:r w:rsidR="000F5330">
        <w:rPr>
          <w:rFonts w:ascii="Times New Roman" w:eastAsiaTheme="minorEastAsia" w:hAnsi="Times New Roman" w:cs="Times New Roman"/>
        </w:rPr>
        <w:t xml:space="preserve"> The strategies are examined for</w:t>
      </w:r>
      <w:r w:rsidR="000A442C">
        <w:rPr>
          <w:rFonts w:ascii="Times New Roman" w:eastAsiaTheme="minorEastAsia" w:hAnsi="Times New Roman" w:cs="Times New Roman"/>
        </w:rPr>
        <w:t xml:space="preserve"> </w:t>
      </w:r>
      <w:r w:rsidR="000F5330">
        <w:rPr>
          <w:rFonts w:ascii="Times New Roman" w:eastAsiaTheme="minorEastAsia" w:hAnsi="Times New Roman" w:cs="Times New Roman"/>
        </w:rPr>
        <w:t>t</w:t>
      </w:r>
      <w:r w:rsidR="000A442C">
        <w:rPr>
          <w:rFonts w:ascii="Times New Roman" w:eastAsiaTheme="minorEastAsia" w:hAnsi="Times New Roman" w:cs="Times New Roman"/>
        </w:rPr>
        <w:t>wo different post-harvest sale periods:</w:t>
      </w:r>
      <w:r w:rsidR="007D4D35">
        <w:rPr>
          <w:rFonts w:ascii="Times New Roman" w:eastAsiaTheme="minorEastAsia" w:hAnsi="Times New Roman" w:cs="Times New Roman"/>
        </w:rPr>
        <w:t xml:space="preserve"> January</w:t>
      </w:r>
      <w:r w:rsidR="005E6695">
        <w:rPr>
          <w:rFonts w:ascii="Times New Roman" w:eastAsiaTheme="minorEastAsia" w:hAnsi="Times New Roman" w:cs="Times New Roman"/>
        </w:rPr>
        <w:t xml:space="preserve"> (week 2)</w:t>
      </w:r>
      <w:r w:rsidR="007D4D35">
        <w:rPr>
          <w:rFonts w:ascii="Times New Roman" w:eastAsiaTheme="minorEastAsia" w:hAnsi="Times New Roman" w:cs="Times New Roman"/>
        </w:rPr>
        <w:t xml:space="preserve"> </w:t>
      </w:r>
      <w:r w:rsidR="001762AC">
        <w:rPr>
          <w:rFonts w:ascii="Times New Roman" w:eastAsiaTheme="minorEastAsia" w:hAnsi="Times New Roman" w:cs="Times New Roman"/>
        </w:rPr>
        <w:t>and May (week 19)</w:t>
      </w:r>
      <w:r w:rsidR="007D4D35">
        <w:rPr>
          <w:rFonts w:ascii="Times New Roman" w:eastAsiaTheme="minorEastAsia" w:hAnsi="Times New Roman" w:cs="Times New Roman"/>
        </w:rPr>
        <w:t>.</w:t>
      </w:r>
      <w:r w:rsidR="00F9391B">
        <w:rPr>
          <w:rFonts w:ascii="Times New Roman" w:eastAsiaTheme="minorEastAsia" w:hAnsi="Times New Roman" w:cs="Times New Roman"/>
        </w:rPr>
        <w:t xml:space="preserve"> </w:t>
      </w:r>
      <w:r w:rsidR="007441CF">
        <w:rPr>
          <w:rFonts w:ascii="Times New Roman" w:eastAsiaTheme="minorEastAsia" w:hAnsi="Times New Roman" w:cs="Times New Roman"/>
        </w:rPr>
        <w:t>The strategies are:</w:t>
      </w:r>
    </w:p>
    <w:p w14:paraId="3DAA15F8" w14:textId="77777777" w:rsidR="007441CF" w:rsidRDefault="007441CF" w:rsidP="005402DA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1DF4B7AD" w14:textId="77777777" w:rsidR="004E5EAC" w:rsidRPr="004E5EAC" w:rsidRDefault="004E5EAC" w:rsidP="004E5EA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Harvest</w:t>
      </w:r>
      <w:r>
        <w:rPr>
          <w:rFonts w:ascii="Times New Roman" w:eastAsiaTheme="minorEastAsia" w:hAnsi="Times New Roman" w:cs="Times New Roman"/>
        </w:rPr>
        <w:t>: 100% of bushels are sold at the harvest cash price; the control group</w:t>
      </w:r>
    </w:p>
    <w:p w14:paraId="11CD5FFF" w14:textId="7E50B412" w:rsidR="007441CF" w:rsidRDefault="007441CF" w:rsidP="007441C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Cash</w:t>
      </w:r>
      <w:r>
        <w:rPr>
          <w:rFonts w:ascii="Times New Roman" w:eastAsiaTheme="minorEastAsia" w:hAnsi="Times New Roman" w:cs="Times New Roman"/>
        </w:rPr>
        <w:t xml:space="preserve">: </w:t>
      </w:r>
      <w:r w:rsidR="003E3529">
        <w:rPr>
          <w:rFonts w:ascii="Times New Roman" w:eastAsiaTheme="minorEastAsia" w:hAnsi="Times New Roman" w:cs="Times New Roman"/>
        </w:rPr>
        <w:t xml:space="preserve">bushels are sold </w:t>
      </w:r>
      <w:r w:rsidR="00DA5A57">
        <w:rPr>
          <w:rFonts w:ascii="Times New Roman" w:eastAsiaTheme="minorEastAsia" w:hAnsi="Times New Roman" w:cs="Times New Roman"/>
        </w:rPr>
        <w:t>at the</w:t>
      </w:r>
      <w:r w:rsidR="004E5EAC">
        <w:rPr>
          <w:rFonts w:ascii="Times New Roman" w:eastAsiaTheme="minorEastAsia" w:hAnsi="Times New Roman" w:cs="Times New Roman"/>
        </w:rPr>
        <w:t xml:space="preserve"> </w:t>
      </w:r>
      <w:r w:rsidR="003E213C">
        <w:rPr>
          <w:rFonts w:ascii="Times New Roman" w:eastAsiaTheme="minorEastAsia" w:hAnsi="Times New Roman" w:cs="Times New Roman"/>
        </w:rPr>
        <w:t xml:space="preserve">cash </w:t>
      </w:r>
      <w:r w:rsidR="00DA5A57">
        <w:rPr>
          <w:rFonts w:ascii="Times New Roman" w:eastAsiaTheme="minorEastAsia" w:hAnsi="Times New Roman" w:cs="Times New Roman"/>
        </w:rPr>
        <w:t xml:space="preserve">price </w:t>
      </w:r>
      <w:r w:rsidR="00EB096D">
        <w:rPr>
          <w:rFonts w:ascii="Times New Roman" w:eastAsiaTheme="minorEastAsia" w:hAnsi="Times New Roman" w:cs="Times New Roman"/>
        </w:rPr>
        <w:t xml:space="preserve">during the sale period. </w:t>
      </w:r>
    </w:p>
    <w:p w14:paraId="24F8DE59" w14:textId="50F67FCF" w:rsidR="003E213C" w:rsidRDefault="003E213C" w:rsidP="007441C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Theme="minorEastAsia" w:hAnsi="Times New Roman" w:cs="Times New Roman"/>
        </w:rPr>
      </w:pPr>
      <w:r w:rsidRPr="003E213C">
        <w:rPr>
          <w:rFonts w:ascii="Times New Roman" w:eastAsiaTheme="minorEastAsia" w:hAnsi="Times New Roman" w:cs="Times New Roman"/>
          <w:u w:val="single"/>
        </w:rPr>
        <w:t>Carry or Store</w:t>
      </w:r>
      <w:r>
        <w:rPr>
          <w:rFonts w:ascii="Times New Roman" w:eastAsiaTheme="minorEastAsia" w:hAnsi="Times New Roman" w:cs="Times New Roman"/>
        </w:rPr>
        <w:t xml:space="preserve">: </w:t>
      </w:r>
      <w:r w:rsidR="00BD6158">
        <w:rPr>
          <w:rFonts w:ascii="Times New Roman" w:eastAsiaTheme="minorEastAsia" w:hAnsi="Times New Roman" w:cs="Times New Roman"/>
        </w:rPr>
        <w:t>if the market carry is greater than 120% of interest costs</w:t>
      </w:r>
      <w:r w:rsidR="00A77A83">
        <w:rPr>
          <w:rFonts w:ascii="Times New Roman" w:eastAsiaTheme="minorEastAsia" w:hAnsi="Times New Roman" w:cs="Times New Roman"/>
        </w:rPr>
        <w:t>, sell the carry; if not, store until cash market sale</w:t>
      </w:r>
    </w:p>
    <w:p w14:paraId="3CAD97D0" w14:textId="61EDE776" w:rsidR="00CE1760" w:rsidRDefault="00CE1760" w:rsidP="007441C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Carry or Harvest</w:t>
      </w:r>
      <w:r>
        <w:rPr>
          <w:rFonts w:ascii="Times New Roman" w:eastAsiaTheme="minorEastAsia" w:hAnsi="Times New Roman" w:cs="Times New Roman"/>
        </w:rPr>
        <w:t>: if the market carry is greater than 120% of interest costs, sell the carry; if not, sell 100% of bushels at harvest</w:t>
      </w:r>
    </w:p>
    <w:p w14:paraId="1E2F3142" w14:textId="59298404" w:rsidR="00EE0947" w:rsidRDefault="00CE1760" w:rsidP="00EE094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Next Harvest</w:t>
      </w:r>
      <w:r>
        <w:rPr>
          <w:rFonts w:ascii="Times New Roman" w:eastAsiaTheme="minorEastAsia" w:hAnsi="Times New Roman" w:cs="Times New Roman"/>
        </w:rPr>
        <w:t>:  holding</w:t>
      </w:r>
      <w:r w:rsidR="00F252FE">
        <w:rPr>
          <w:rFonts w:ascii="Times New Roman" w:eastAsiaTheme="minorEastAsia" w:hAnsi="Times New Roman" w:cs="Times New Roman"/>
        </w:rPr>
        <w:t xml:space="preserve"> </w:t>
      </w:r>
      <w:r w:rsidR="00400F6F">
        <w:rPr>
          <w:rFonts w:ascii="Times New Roman" w:eastAsiaTheme="minorEastAsia" w:hAnsi="Times New Roman" w:cs="Times New Roman"/>
        </w:rPr>
        <w:t>too</w:t>
      </w:r>
      <w:r w:rsidR="00F252FE">
        <w:rPr>
          <w:rFonts w:ascii="Times New Roman" w:eastAsiaTheme="minorEastAsia" w:hAnsi="Times New Roman" w:cs="Times New Roman"/>
        </w:rPr>
        <w:t xml:space="preserve"> long</w:t>
      </w:r>
      <w:r>
        <w:rPr>
          <w:rFonts w:ascii="Times New Roman" w:eastAsiaTheme="minorEastAsia" w:hAnsi="Times New Roman" w:cs="Times New Roman"/>
        </w:rPr>
        <w:t xml:space="preserve"> </w:t>
      </w:r>
      <w:r w:rsidR="00386662">
        <w:rPr>
          <w:rFonts w:ascii="Times New Roman" w:eastAsiaTheme="minorEastAsia" w:hAnsi="Times New Roman" w:cs="Times New Roman"/>
        </w:rPr>
        <w:t>until week 40 of the following year and selling straight in the cash market.</w:t>
      </w:r>
    </w:p>
    <w:p w14:paraId="19DBE915" w14:textId="77777777" w:rsidR="000F5330" w:rsidRPr="00187905" w:rsidRDefault="000F5330" w:rsidP="00187905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7034F201" w14:textId="4F4E6E04" w:rsidR="00EE0947" w:rsidRDefault="00EE0947" w:rsidP="002B2E39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Interest costs are factor</w:t>
      </w:r>
      <w:r w:rsidR="000948DF">
        <w:rPr>
          <w:rFonts w:ascii="Times New Roman" w:eastAsiaTheme="minorEastAsia" w:hAnsi="Times New Roman" w:cs="Times New Roman"/>
        </w:rPr>
        <w:t>ed</w:t>
      </w:r>
      <w:r>
        <w:rPr>
          <w:rFonts w:ascii="Times New Roman" w:eastAsiaTheme="minorEastAsia" w:hAnsi="Times New Roman" w:cs="Times New Roman"/>
        </w:rPr>
        <w:t xml:space="preserve"> into ever</w:t>
      </w:r>
      <w:r w:rsidR="002B2E39">
        <w:rPr>
          <w:rFonts w:ascii="Times New Roman" w:eastAsiaTheme="minorEastAsia" w:hAnsi="Times New Roman" w:cs="Times New Roman"/>
        </w:rPr>
        <w:t>y strategy</w:t>
      </w:r>
      <w:r w:rsidR="000948DF">
        <w:rPr>
          <w:rFonts w:ascii="Times New Roman" w:eastAsiaTheme="minorEastAsia" w:hAnsi="Times New Roman" w:cs="Times New Roman"/>
        </w:rPr>
        <w:t xml:space="preserve"> </w:t>
      </w:r>
      <w:r w:rsidR="007A36B1">
        <w:rPr>
          <w:rFonts w:ascii="Times New Roman" w:eastAsiaTheme="minorEastAsia" w:hAnsi="Times New Roman" w:cs="Times New Roman"/>
        </w:rPr>
        <w:t xml:space="preserve">except for </w:t>
      </w:r>
      <w:r w:rsidR="000948DF">
        <w:rPr>
          <w:rFonts w:ascii="Times New Roman" w:eastAsiaTheme="minorEastAsia" w:hAnsi="Times New Roman" w:cs="Times New Roman"/>
        </w:rPr>
        <w:t>the first cash strategy</w:t>
      </w:r>
      <w:r w:rsidR="00EB096D">
        <w:rPr>
          <w:rFonts w:ascii="Times New Roman" w:eastAsiaTheme="minorEastAsia" w:hAnsi="Times New Roman" w:cs="Times New Roman"/>
        </w:rPr>
        <w:t>. They are</w:t>
      </w:r>
      <w:r w:rsidR="002B2E39">
        <w:rPr>
          <w:rFonts w:ascii="Times New Roman" w:eastAsiaTheme="minorEastAsia" w:hAnsi="Times New Roman" w:cs="Times New Roman"/>
        </w:rPr>
        <w:t xml:space="preserve"> derived by multiplying the </w:t>
      </w:r>
      <w:r w:rsidR="00F252FE">
        <w:rPr>
          <w:rFonts w:ascii="Times New Roman" w:eastAsiaTheme="minorEastAsia" w:hAnsi="Times New Roman" w:cs="Times New Roman"/>
        </w:rPr>
        <w:t xml:space="preserve">Quarter 1 </w:t>
      </w:r>
      <w:r w:rsidR="002B2E39">
        <w:rPr>
          <w:rFonts w:ascii="Times New Roman" w:eastAsiaTheme="minorEastAsia" w:hAnsi="Times New Roman" w:cs="Times New Roman"/>
        </w:rPr>
        <w:t>interest rate of the crop year times the harvest cash price, representing an opportunity cost of holding grain.</w:t>
      </w:r>
    </w:p>
    <w:p w14:paraId="509FCF65" w14:textId="77777777" w:rsidR="00916970" w:rsidRDefault="00916970" w:rsidP="002B2E39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</w:p>
    <w:p w14:paraId="1611953F" w14:textId="691E6EF7" w:rsidR="00981D80" w:rsidRDefault="000948DF" w:rsidP="002B2E39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</w:t>
      </w:r>
      <w:r w:rsidR="00916970">
        <w:rPr>
          <w:rFonts w:ascii="Times New Roman" w:eastAsiaTheme="minorEastAsia" w:hAnsi="Times New Roman" w:cs="Times New Roman"/>
        </w:rPr>
        <w:t xml:space="preserve"> January</w:t>
      </w:r>
      <w:r w:rsidR="002151E7">
        <w:rPr>
          <w:rFonts w:ascii="Times New Roman" w:eastAsiaTheme="minorEastAsia" w:hAnsi="Times New Roman" w:cs="Times New Roman"/>
        </w:rPr>
        <w:t xml:space="preserve"> and May</w:t>
      </w:r>
      <w:r>
        <w:rPr>
          <w:rFonts w:ascii="Times New Roman" w:eastAsiaTheme="minorEastAsia" w:hAnsi="Times New Roman" w:cs="Times New Roman"/>
        </w:rPr>
        <w:t xml:space="preserve"> post-harvest strategy results for Greenwood, MS</w:t>
      </w:r>
      <w:r w:rsidR="00EB096D">
        <w:rPr>
          <w:rFonts w:ascii="Times New Roman" w:eastAsiaTheme="minorEastAsia" w:hAnsi="Times New Roman" w:cs="Times New Roman"/>
        </w:rPr>
        <w:t>, can be found in Tables</w:t>
      </w:r>
      <w:r w:rsidR="00916970">
        <w:rPr>
          <w:rFonts w:ascii="Times New Roman" w:eastAsiaTheme="minorEastAsia" w:hAnsi="Times New Roman" w:cs="Times New Roman"/>
        </w:rPr>
        <w:t xml:space="preserve"> 3</w:t>
      </w:r>
      <w:r w:rsidR="002151E7">
        <w:rPr>
          <w:rFonts w:ascii="Times New Roman" w:eastAsiaTheme="minorEastAsia" w:hAnsi="Times New Roman" w:cs="Times New Roman"/>
        </w:rPr>
        <w:t xml:space="preserve"> and 4, respectively</w:t>
      </w:r>
      <w:r w:rsidR="00916970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 xml:space="preserve"> </w:t>
      </w:r>
      <w:r w:rsidR="00DF1F0E">
        <w:rPr>
          <w:rFonts w:ascii="Times New Roman" w:eastAsiaTheme="minorEastAsia" w:hAnsi="Times New Roman" w:cs="Times New Roman"/>
        </w:rPr>
        <w:t xml:space="preserve"> The</w:t>
      </w:r>
      <w:r w:rsidR="00187905">
        <w:rPr>
          <w:rFonts w:ascii="Times New Roman" w:eastAsiaTheme="minorEastAsia" w:hAnsi="Times New Roman" w:cs="Times New Roman"/>
        </w:rPr>
        <w:t xml:space="preserve"> </w:t>
      </w:r>
      <w:r w:rsidR="00EB096D">
        <w:rPr>
          <w:rFonts w:ascii="Times New Roman" w:eastAsiaTheme="minorEastAsia" w:hAnsi="Times New Roman" w:cs="Times New Roman"/>
        </w:rPr>
        <w:t>highest-performing</w:t>
      </w:r>
      <w:r w:rsidR="00C30D9D">
        <w:rPr>
          <w:rFonts w:ascii="Times New Roman" w:eastAsiaTheme="minorEastAsia" w:hAnsi="Times New Roman" w:cs="Times New Roman"/>
        </w:rPr>
        <w:t xml:space="preserve"> January strategy </w:t>
      </w:r>
      <w:r w:rsidR="00751C07">
        <w:rPr>
          <w:rFonts w:ascii="Times New Roman" w:eastAsiaTheme="minorEastAsia" w:hAnsi="Times New Roman" w:cs="Times New Roman"/>
        </w:rPr>
        <w:t xml:space="preserve">was </w:t>
      </w:r>
      <w:r w:rsidR="000F5330">
        <w:rPr>
          <w:rFonts w:ascii="Times New Roman" w:eastAsiaTheme="minorEastAsia" w:hAnsi="Times New Roman" w:cs="Times New Roman"/>
        </w:rPr>
        <w:t>selling at the January cash price</w:t>
      </w:r>
      <w:r w:rsidR="00751C07">
        <w:rPr>
          <w:rFonts w:ascii="Times New Roman" w:eastAsiaTheme="minorEastAsia" w:hAnsi="Times New Roman" w:cs="Times New Roman"/>
        </w:rPr>
        <w:t xml:space="preserve"> with an average price of $11.11/bu</w:t>
      </w:r>
      <w:r w:rsidR="00E7395A">
        <w:rPr>
          <w:rFonts w:ascii="Times New Roman" w:eastAsiaTheme="minorEastAsia" w:hAnsi="Times New Roman" w:cs="Times New Roman"/>
        </w:rPr>
        <w:t>,</w:t>
      </w:r>
      <w:r w:rsidR="00254D2F">
        <w:rPr>
          <w:rFonts w:ascii="Times New Roman" w:eastAsiaTheme="minorEastAsia" w:hAnsi="Times New Roman" w:cs="Times New Roman"/>
        </w:rPr>
        <w:t xml:space="preserve"> </w:t>
      </w:r>
      <w:r w:rsidR="00751C07">
        <w:rPr>
          <w:rFonts w:ascii="Times New Roman" w:eastAsiaTheme="minorEastAsia" w:hAnsi="Times New Roman" w:cs="Times New Roman"/>
        </w:rPr>
        <w:t xml:space="preserve">and the </w:t>
      </w:r>
      <w:r w:rsidR="00EB096D">
        <w:rPr>
          <w:rFonts w:ascii="Times New Roman" w:eastAsiaTheme="minorEastAsia" w:hAnsi="Times New Roman" w:cs="Times New Roman"/>
        </w:rPr>
        <w:t>highest-performing</w:t>
      </w:r>
      <w:r w:rsidR="00751C07">
        <w:rPr>
          <w:rFonts w:ascii="Times New Roman" w:eastAsiaTheme="minorEastAsia" w:hAnsi="Times New Roman" w:cs="Times New Roman"/>
        </w:rPr>
        <w:t xml:space="preserve"> May strategy was </w:t>
      </w:r>
      <w:r w:rsidR="00F71593">
        <w:rPr>
          <w:rFonts w:ascii="Times New Roman" w:eastAsiaTheme="minorEastAsia" w:hAnsi="Times New Roman" w:cs="Times New Roman"/>
        </w:rPr>
        <w:t>the “carry or store” strategy with an average price of $11.16/bu</w:t>
      </w:r>
      <w:r w:rsidR="00EB096D">
        <w:rPr>
          <w:rFonts w:ascii="Times New Roman" w:eastAsiaTheme="minorEastAsia" w:hAnsi="Times New Roman" w:cs="Times New Roman"/>
        </w:rPr>
        <w:t>.</w:t>
      </w:r>
      <w:r w:rsidR="00F71593">
        <w:rPr>
          <w:rFonts w:ascii="Times New Roman" w:eastAsiaTheme="minorEastAsia" w:hAnsi="Times New Roman" w:cs="Times New Roman"/>
        </w:rPr>
        <w:t xml:space="preserve"> </w:t>
      </w:r>
      <w:r w:rsidR="0062487E">
        <w:rPr>
          <w:rFonts w:ascii="Times New Roman" w:eastAsiaTheme="minorEastAsia" w:hAnsi="Times New Roman" w:cs="Times New Roman"/>
        </w:rPr>
        <w:t xml:space="preserve">The </w:t>
      </w:r>
      <w:r w:rsidR="00EB096D">
        <w:rPr>
          <w:rFonts w:ascii="Times New Roman" w:eastAsiaTheme="minorEastAsia" w:hAnsi="Times New Roman" w:cs="Times New Roman"/>
        </w:rPr>
        <w:t>lowest-performing</w:t>
      </w:r>
      <w:r w:rsidR="0062487E">
        <w:rPr>
          <w:rFonts w:ascii="Times New Roman" w:eastAsiaTheme="minorEastAsia" w:hAnsi="Times New Roman" w:cs="Times New Roman"/>
        </w:rPr>
        <w:t xml:space="preserve"> January strategy was the “carry or harvest” strategy</w:t>
      </w:r>
      <w:r w:rsidR="00F035A5">
        <w:rPr>
          <w:rFonts w:ascii="Times New Roman" w:eastAsiaTheme="minorEastAsia" w:hAnsi="Times New Roman" w:cs="Times New Roman"/>
        </w:rPr>
        <w:t>, with an average price of $10.55/bu, and the lowest-performing May strategy was also the “carry or harvest” strategy,</w:t>
      </w:r>
      <w:r w:rsidR="00AB6583">
        <w:rPr>
          <w:rFonts w:ascii="Times New Roman" w:eastAsiaTheme="minorEastAsia" w:hAnsi="Times New Roman" w:cs="Times New Roman"/>
        </w:rPr>
        <w:t xml:space="preserve"> with an average price of </w:t>
      </w:r>
      <w:r w:rsidR="00B50AA1">
        <w:rPr>
          <w:rFonts w:ascii="Times New Roman" w:eastAsiaTheme="minorEastAsia" w:hAnsi="Times New Roman" w:cs="Times New Roman"/>
        </w:rPr>
        <w:t xml:space="preserve">$10.45/bu. Overall, the </w:t>
      </w:r>
      <w:r w:rsidR="00916970">
        <w:rPr>
          <w:rFonts w:ascii="Times New Roman" w:eastAsiaTheme="minorEastAsia" w:hAnsi="Times New Roman" w:cs="Times New Roman"/>
        </w:rPr>
        <w:t>lowest-performing</w:t>
      </w:r>
      <w:r w:rsidR="00B50AA1">
        <w:rPr>
          <w:rFonts w:ascii="Times New Roman" w:eastAsiaTheme="minorEastAsia" w:hAnsi="Times New Roman" w:cs="Times New Roman"/>
        </w:rPr>
        <w:t xml:space="preserve"> strategy was the “next harvest” strategy, with an average price of $9.77/bu.</w:t>
      </w:r>
      <w:r w:rsidR="007802D4">
        <w:rPr>
          <w:rFonts w:ascii="Times New Roman" w:eastAsiaTheme="minorEastAsia" w:hAnsi="Times New Roman" w:cs="Times New Roman"/>
        </w:rPr>
        <w:t xml:space="preserve"> For both </w:t>
      </w:r>
      <w:r w:rsidR="00E74CE6">
        <w:rPr>
          <w:rFonts w:ascii="Times New Roman" w:eastAsiaTheme="minorEastAsia" w:hAnsi="Times New Roman" w:cs="Times New Roman"/>
        </w:rPr>
        <w:t>January and May</w:t>
      </w:r>
      <w:r w:rsidR="007802D4">
        <w:rPr>
          <w:rFonts w:ascii="Times New Roman" w:eastAsiaTheme="minorEastAsia" w:hAnsi="Times New Roman" w:cs="Times New Roman"/>
        </w:rPr>
        <w:t>, the “carry or harvest” strategy had the lowest standard deviation</w:t>
      </w:r>
      <w:r w:rsidR="00E74CE6">
        <w:rPr>
          <w:rFonts w:ascii="Times New Roman" w:eastAsiaTheme="minorEastAsia" w:hAnsi="Times New Roman" w:cs="Times New Roman"/>
        </w:rPr>
        <w:t xml:space="preserve"> ($1.87/bu and $1.97/bu</w:t>
      </w:r>
      <w:r w:rsidR="00D63814">
        <w:rPr>
          <w:rFonts w:ascii="Times New Roman" w:eastAsiaTheme="minorEastAsia" w:hAnsi="Times New Roman" w:cs="Times New Roman"/>
        </w:rPr>
        <w:t>,</w:t>
      </w:r>
      <w:r w:rsidR="00E74CE6">
        <w:rPr>
          <w:rFonts w:ascii="Times New Roman" w:eastAsiaTheme="minorEastAsia" w:hAnsi="Times New Roman" w:cs="Times New Roman"/>
        </w:rPr>
        <w:t xml:space="preserve"> respectively)</w:t>
      </w:r>
      <w:r w:rsidR="007802D4">
        <w:rPr>
          <w:rFonts w:ascii="Times New Roman" w:eastAsiaTheme="minorEastAsia" w:hAnsi="Times New Roman" w:cs="Times New Roman"/>
        </w:rPr>
        <w:t>,</w:t>
      </w:r>
      <w:r w:rsidR="00762C24">
        <w:rPr>
          <w:rFonts w:ascii="Times New Roman" w:eastAsiaTheme="minorEastAsia" w:hAnsi="Times New Roman" w:cs="Times New Roman"/>
        </w:rPr>
        <w:t xml:space="preserve"> and the “carry or store” strategy had the highest standard deviation</w:t>
      </w:r>
      <w:r w:rsidR="00707CF1">
        <w:rPr>
          <w:rFonts w:ascii="Times New Roman" w:eastAsiaTheme="minorEastAsia" w:hAnsi="Times New Roman" w:cs="Times New Roman"/>
        </w:rPr>
        <w:t xml:space="preserve"> ($2.11/bu and $2.50/bu respectively).</w:t>
      </w:r>
      <w:r w:rsidR="007249B3">
        <w:rPr>
          <w:rFonts w:ascii="Times New Roman" w:eastAsiaTheme="minorEastAsia" w:hAnsi="Times New Roman" w:cs="Times New Roman"/>
        </w:rPr>
        <w:t xml:space="preserve"> The overall dominant</w:t>
      </w:r>
      <w:r w:rsidR="0066467D">
        <w:rPr>
          <w:rFonts w:ascii="Times New Roman" w:eastAsiaTheme="minorEastAsia" w:hAnsi="Times New Roman" w:cs="Times New Roman"/>
        </w:rPr>
        <w:t xml:space="preserve"> post-harvest</w:t>
      </w:r>
      <w:r w:rsidR="007249B3">
        <w:rPr>
          <w:rFonts w:ascii="Times New Roman" w:eastAsiaTheme="minorEastAsia" w:hAnsi="Times New Roman" w:cs="Times New Roman"/>
        </w:rPr>
        <w:t xml:space="preserve"> strategy was the May “carry or store” </w:t>
      </w:r>
      <w:r w:rsidR="00981D80">
        <w:rPr>
          <w:rFonts w:ascii="Times New Roman" w:eastAsiaTheme="minorEastAsia" w:hAnsi="Times New Roman" w:cs="Times New Roman"/>
        </w:rPr>
        <w:t>with an average price of $11.16/bu.</w:t>
      </w:r>
    </w:p>
    <w:p w14:paraId="697123A6" w14:textId="77777777" w:rsidR="00916970" w:rsidRDefault="00916970" w:rsidP="002B2E39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</w:p>
    <w:p w14:paraId="47E17386" w14:textId="29D2440C" w:rsidR="00D63814" w:rsidRDefault="00981D80" w:rsidP="00D63814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 post-harvest strategy results for Greenville, MS.</w:t>
      </w:r>
      <w:r w:rsidR="00F035A5">
        <w:rPr>
          <w:rFonts w:ascii="Times New Roman" w:eastAsiaTheme="minorEastAsia" w:hAnsi="Times New Roman" w:cs="Times New Roman"/>
        </w:rPr>
        <w:t>, can be found in Tables</w:t>
      </w:r>
      <w:r w:rsidR="005271A5">
        <w:rPr>
          <w:rFonts w:ascii="Times New Roman" w:eastAsiaTheme="minorEastAsia" w:hAnsi="Times New Roman" w:cs="Times New Roman"/>
        </w:rPr>
        <w:t xml:space="preserve"> 5 and 6, respectively. </w:t>
      </w:r>
      <w:r>
        <w:rPr>
          <w:rFonts w:ascii="Times New Roman" w:eastAsiaTheme="minorEastAsia" w:hAnsi="Times New Roman" w:cs="Times New Roman"/>
        </w:rPr>
        <w:t xml:space="preserve"> </w:t>
      </w:r>
      <w:r w:rsidR="005271A5">
        <w:rPr>
          <w:rFonts w:ascii="Times New Roman" w:eastAsiaTheme="minorEastAsia" w:hAnsi="Times New Roman" w:cs="Times New Roman"/>
        </w:rPr>
        <w:t>T</w:t>
      </w:r>
      <w:r>
        <w:rPr>
          <w:rFonts w:ascii="Times New Roman" w:eastAsiaTheme="minorEastAsia" w:hAnsi="Times New Roman" w:cs="Times New Roman"/>
        </w:rPr>
        <w:t xml:space="preserve">he </w:t>
      </w:r>
      <w:r w:rsidR="00F035A5">
        <w:rPr>
          <w:rFonts w:ascii="Times New Roman" w:eastAsiaTheme="minorEastAsia" w:hAnsi="Times New Roman" w:cs="Times New Roman"/>
        </w:rPr>
        <w:t>highest-performing January strategy was the “carry or store” strategy, with an average price of $11.43/bu, and the highest-performing</w:t>
      </w:r>
      <w:r w:rsidR="002F039B">
        <w:rPr>
          <w:rFonts w:ascii="Times New Roman" w:eastAsiaTheme="minorEastAsia" w:hAnsi="Times New Roman" w:cs="Times New Roman"/>
        </w:rPr>
        <w:t xml:space="preserve"> May strategy was the cash market strategy, coincidentally with the same average price of $11.43/bu</w:t>
      </w:r>
      <w:r w:rsidR="00262D94">
        <w:rPr>
          <w:rFonts w:ascii="Times New Roman" w:eastAsiaTheme="minorEastAsia" w:hAnsi="Times New Roman" w:cs="Times New Roman"/>
        </w:rPr>
        <w:t>. Th</w:t>
      </w:r>
      <w:r w:rsidR="005271A5">
        <w:rPr>
          <w:rFonts w:ascii="Times New Roman" w:eastAsiaTheme="minorEastAsia" w:hAnsi="Times New Roman" w:cs="Times New Roman"/>
        </w:rPr>
        <w:t>e</w:t>
      </w:r>
      <w:r w:rsidR="00262D94">
        <w:rPr>
          <w:rFonts w:ascii="Times New Roman" w:eastAsiaTheme="minorEastAsia" w:hAnsi="Times New Roman" w:cs="Times New Roman"/>
        </w:rPr>
        <w:t xml:space="preserve"> lowest</w:t>
      </w:r>
      <w:r w:rsidR="005271A5">
        <w:rPr>
          <w:rFonts w:ascii="Times New Roman" w:eastAsiaTheme="minorEastAsia" w:hAnsi="Times New Roman" w:cs="Times New Roman"/>
        </w:rPr>
        <w:t>-</w:t>
      </w:r>
      <w:r w:rsidR="00262D94">
        <w:rPr>
          <w:rFonts w:ascii="Times New Roman" w:eastAsiaTheme="minorEastAsia" w:hAnsi="Times New Roman" w:cs="Times New Roman"/>
        </w:rPr>
        <w:t>performing January strategy was t</w:t>
      </w:r>
      <w:r w:rsidR="0016787A">
        <w:rPr>
          <w:rFonts w:ascii="Times New Roman" w:eastAsiaTheme="minorEastAsia" w:hAnsi="Times New Roman" w:cs="Times New Roman"/>
        </w:rPr>
        <w:t>he “carry or harvest” strategy</w:t>
      </w:r>
      <w:r w:rsidR="00400F6F">
        <w:rPr>
          <w:rFonts w:ascii="Times New Roman" w:eastAsiaTheme="minorEastAsia" w:hAnsi="Times New Roman" w:cs="Times New Roman"/>
        </w:rPr>
        <w:t>,</w:t>
      </w:r>
      <w:r w:rsidR="0016787A">
        <w:rPr>
          <w:rFonts w:ascii="Times New Roman" w:eastAsiaTheme="minorEastAsia" w:hAnsi="Times New Roman" w:cs="Times New Roman"/>
        </w:rPr>
        <w:t xml:space="preserve"> with an average price of $10.81/bu</w:t>
      </w:r>
      <w:r w:rsidR="00843311">
        <w:rPr>
          <w:rFonts w:ascii="Times New Roman" w:eastAsiaTheme="minorEastAsia" w:hAnsi="Times New Roman" w:cs="Times New Roman"/>
        </w:rPr>
        <w:t>, and the lowest</w:t>
      </w:r>
      <w:r w:rsidR="005271A5">
        <w:rPr>
          <w:rFonts w:ascii="Times New Roman" w:eastAsiaTheme="minorEastAsia" w:hAnsi="Times New Roman" w:cs="Times New Roman"/>
        </w:rPr>
        <w:t>-</w:t>
      </w:r>
      <w:r w:rsidR="00843311">
        <w:rPr>
          <w:rFonts w:ascii="Times New Roman" w:eastAsiaTheme="minorEastAsia" w:hAnsi="Times New Roman" w:cs="Times New Roman"/>
        </w:rPr>
        <w:t>performing May strategy was also the “carry or harvest” strategy</w:t>
      </w:r>
      <w:r w:rsidR="005271A5">
        <w:rPr>
          <w:rFonts w:ascii="Times New Roman" w:eastAsiaTheme="minorEastAsia" w:hAnsi="Times New Roman" w:cs="Times New Roman"/>
        </w:rPr>
        <w:t>,</w:t>
      </w:r>
      <w:r w:rsidR="00843311">
        <w:rPr>
          <w:rFonts w:ascii="Times New Roman" w:eastAsiaTheme="minorEastAsia" w:hAnsi="Times New Roman" w:cs="Times New Roman"/>
        </w:rPr>
        <w:t xml:space="preserve"> with an average price of $10.64/bu.</w:t>
      </w:r>
      <w:r w:rsidR="00BB33C0">
        <w:rPr>
          <w:rFonts w:ascii="Times New Roman" w:eastAsiaTheme="minorEastAsia" w:hAnsi="Times New Roman" w:cs="Times New Roman"/>
        </w:rPr>
        <w:t xml:space="preserve"> Overall, the </w:t>
      </w:r>
      <w:r w:rsidR="00D63814">
        <w:rPr>
          <w:rFonts w:ascii="Times New Roman" w:eastAsiaTheme="minorEastAsia" w:hAnsi="Times New Roman" w:cs="Times New Roman"/>
        </w:rPr>
        <w:t>lowest-performing</w:t>
      </w:r>
      <w:r w:rsidR="00BB33C0">
        <w:rPr>
          <w:rFonts w:ascii="Times New Roman" w:eastAsiaTheme="minorEastAsia" w:hAnsi="Times New Roman" w:cs="Times New Roman"/>
        </w:rPr>
        <w:t xml:space="preserve"> strategy was the “next harvest” strategy, with an average price of $10.02/</w:t>
      </w:r>
      <w:r w:rsidR="00EB014D">
        <w:rPr>
          <w:rFonts w:ascii="Times New Roman" w:eastAsiaTheme="minorEastAsia" w:hAnsi="Times New Roman" w:cs="Times New Roman"/>
        </w:rPr>
        <w:t xml:space="preserve">bu. For both January and May, the “carry or harvest” strategy had the </w:t>
      </w:r>
      <w:r w:rsidR="00EB014D">
        <w:rPr>
          <w:rFonts w:ascii="Times New Roman" w:eastAsiaTheme="minorEastAsia" w:hAnsi="Times New Roman" w:cs="Times New Roman"/>
        </w:rPr>
        <w:lastRenderedPageBreak/>
        <w:t>lowest standard deviation ($1.86/bu</w:t>
      </w:r>
      <w:r w:rsidR="00942675">
        <w:rPr>
          <w:rFonts w:ascii="Times New Roman" w:eastAsiaTheme="minorEastAsia" w:hAnsi="Times New Roman" w:cs="Times New Roman"/>
        </w:rPr>
        <w:t xml:space="preserve"> and $1.95/bu</w:t>
      </w:r>
      <w:r w:rsidR="00D63814">
        <w:rPr>
          <w:rFonts w:ascii="Times New Roman" w:eastAsiaTheme="minorEastAsia" w:hAnsi="Times New Roman" w:cs="Times New Roman"/>
        </w:rPr>
        <w:t>,</w:t>
      </w:r>
      <w:r w:rsidR="00942675">
        <w:rPr>
          <w:rFonts w:ascii="Times New Roman" w:eastAsiaTheme="minorEastAsia" w:hAnsi="Times New Roman" w:cs="Times New Roman"/>
        </w:rPr>
        <w:t xml:space="preserve"> respectively), and the “carry or store” strategy had the highest standard deviation ($2.08/bu and $2.51/bu respectively). The overall dominant post-harvest strategy </w:t>
      </w:r>
      <w:r w:rsidR="00642DF7">
        <w:rPr>
          <w:rFonts w:ascii="Times New Roman" w:eastAsiaTheme="minorEastAsia" w:hAnsi="Times New Roman" w:cs="Times New Roman"/>
        </w:rPr>
        <w:t>was both the January “carry or store” and the May cash tying with an average price of $11.43/bu.</w:t>
      </w:r>
    </w:p>
    <w:p w14:paraId="47A7399D" w14:textId="77777777" w:rsidR="009851D5" w:rsidRDefault="009851D5" w:rsidP="009851D5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79DE9800" w14:textId="42829848" w:rsidR="00CF2A94" w:rsidRDefault="00CF2A94" w:rsidP="003A2C81">
      <w:pPr>
        <w:spacing w:after="0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Benefits to Producers</w:t>
      </w:r>
    </w:p>
    <w:p w14:paraId="7F18BEAD" w14:textId="77777777" w:rsidR="00CF2A94" w:rsidRDefault="00CF2A94" w:rsidP="003A2C81">
      <w:pPr>
        <w:spacing w:after="0"/>
        <w:rPr>
          <w:rFonts w:ascii="Times New Roman" w:eastAsiaTheme="minorEastAsia" w:hAnsi="Times New Roman" w:cs="Times New Roman"/>
          <w:b/>
          <w:bCs/>
        </w:rPr>
      </w:pPr>
    </w:p>
    <w:p w14:paraId="28AC82F1" w14:textId="73E67490" w:rsidR="00CF2A87" w:rsidRPr="00676874" w:rsidRDefault="00CF2A94" w:rsidP="003A2C81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This report provides a comprehensive overview of several </w:t>
      </w:r>
      <w:r w:rsidR="005C6A46">
        <w:rPr>
          <w:rFonts w:ascii="Times New Roman" w:eastAsiaTheme="minorEastAsia" w:hAnsi="Times New Roman" w:cs="Times New Roman"/>
        </w:rPr>
        <w:t xml:space="preserve">basic and </w:t>
      </w:r>
      <w:r w:rsidR="007E0ABA">
        <w:rPr>
          <w:rFonts w:ascii="Times New Roman" w:eastAsiaTheme="minorEastAsia" w:hAnsi="Times New Roman" w:cs="Times New Roman"/>
        </w:rPr>
        <w:t>easy-to-follow</w:t>
      </w:r>
      <w:r w:rsidR="005C6A46">
        <w:rPr>
          <w:rFonts w:ascii="Times New Roman" w:eastAsiaTheme="minorEastAsia" w:hAnsi="Times New Roman" w:cs="Times New Roman"/>
        </w:rPr>
        <w:t xml:space="preserve"> </w:t>
      </w:r>
      <w:r w:rsidR="005C02CF">
        <w:rPr>
          <w:rFonts w:ascii="Times New Roman" w:eastAsiaTheme="minorEastAsia" w:hAnsi="Times New Roman" w:cs="Times New Roman"/>
        </w:rPr>
        <w:t>strategies</w:t>
      </w:r>
      <w:r w:rsidR="007E0ABA">
        <w:rPr>
          <w:rFonts w:ascii="Times New Roman" w:eastAsiaTheme="minorEastAsia" w:hAnsi="Times New Roman" w:cs="Times New Roman"/>
        </w:rPr>
        <w:t xml:space="preserve">. The key benefit of this project </w:t>
      </w:r>
      <w:r w:rsidR="00330FFB">
        <w:rPr>
          <w:rFonts w:ascii="Times New Roman" w:eastAsiaTheme="minorEastAsia" w:hAnsi="Times New Roman" w:cs="Times New Roman"/>
        </w:rPr>
        <w:t xml:space="preserve">is that it </w:t>
      </w:r>
      <w:r w:rsidR="00213FF1">
        <w:rPr>
          <w:rFonts w:ascii="Times New Roman" w:eastAsiaTheme="minorEastAsia" w:hAnsi="Times New Roman" w:cs="Times New Roman"/>
        </w:rPr>
        <w:t>demonstrates to producers how they can benefit from a straightforward</w:t>
      </w:r>
      <w:r w:rsidR="00330FFB">
        <w:rPr>
          <w:rFonts w:ascii="Times New Roman" w:eastAsiaTheme="minorEastAsia" w:hAnsi="Times New Roman" w:cs="Times New Roman"/>
        </w:rPr>
        <w:t xml:space="preserve"> marketing plan. By setting decision dates and price targets, a producer </w:t>
      </w:r>
      <w:r w:rsidR="00537873">
        <w:rPr>
          <w:rFonts w:ascii="Times New Roman" w:eastAsiaTheme="minorEastAsia" w:hAnsi="Times New Roman" w:cs="Times New Roman"/>
        </w:rPr>
        <w:t>can create a simple plan that increases</w:t>
      </w:r>
      <w:r w:rsidR="00226877">
        <w:rPr>
          <w:rFonts w:ascii="Times New Roman" w:eastAsiaTheme="minorEastAsia" w:hAnsi="Times New Roman" w:cs="Times New Roman"/>
        </w:rPr>
        <w:t xml:space="preserve"> their average final price over time.</w:t>
      </w:r>
      <w:r w:rsidR="00A839F9">
        <w:rPr>
          <w:rFonts w:ascii="Times New Roman" w:eastAsiaTheme="minorEastAsia" w:hAnsi="Times New Roman" w:cs="Times New Roman"/>
        </w:rPr>
        <w:t xml:space="preserve"> Over the sixteen years examined in this study, </w:t>
      </w:r>
      <w:r w:rsidR="00A95683">
        <w:rPr>
          <w:rFonts w:ascii="Times New Roman" w:eastAsiaTheme="minorEastAsia" w:hAnsi="Times New Roman" w:cs="Times New Roman"/>
        </w:rPr>
        <w:t>it was consistently demonstrated that relying solely on cash sales was the least effective strategy.</w:t>
      </w:r>
      <w:r w:rsidR="005651ED">
        <w:rPr>
          <w:rFonts w:ascii="Times New Roman" w:eastAsiaTheme="minorEastAsia" w:hAnsi="Times New Roman" w:cs="Times New Roman"/>
        </w:rPr>
        <w:t xml:space="preserve"> The </w:t>
      </w:r>
      <w:r w:rsidR="00835F18">
        <w:rPr>
          <w:rFonts w:ascii="Times New Roman" w:eastAsiaTheme="minorEastAsia" w:hAnsi="Times New Roman" w:cs="Times New Roman"/>
        </w:rPr>
        <w:t xml:space="preserve">strategies discussed in this study can serve as a starting point for producers who currently do not have a marketing plan in place. </w:t>
      </w:r>
    </w:p>
    <w:p w14:paraId="07EAB2CD" w14:textId="77777777" w:rsidR="00CF2A87" w:rsidRDefault="00CF2A87" w:rsidP="00CF2A87">
      <w:pPr>
        <w:spacing w:after="0"/>
        <w:rPr>
          <w:rFonts w:ascii="Times New Roman" w:hAnsi="Times New Roman" w:cs="Times New Roman"/>
        </w:rPr>
      </w:pPr>
    </w:p>
    <w:p w14:paraId="3E7153B2" w14:textId="4AB0DC4B" w:rsidR="00972BFA" w:rsidRDefault="00972BFA" w:rsidP="00972BFA">
      <w:pPr>
        <w:spacing w:after="0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End Products</w:t>
      </w:r>
    </w:p>
    <w:p w14:paraId="000BD750" w14:textId="77777777" w:rsidR="00972BFA" w:rsidRDefault="00972BFA" w:rsidP="00972BFA">
      <w:pPr>
        <w:spacing w:after="0"/>
        <w:rPr>
          <w:rFonts w:ascii="Times New Roman" w:eastAsiaTheme="minorEastAsia" w:hAnsi="Times New Roman" w:cs="Times New Roman"/>
          <w:b/>
          <w:bCs/>
        </w:rPr>
      </w:pPr>
    </w:p>
    <w:p w14:paraId="6091BF87" w14:textId="2C3EA1F4" w:rsidR="00972BFA" w:rsidRPr="00972BFA" w:rsidRDefault="00972BFA" w:rsidP="00972BFA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ab/>
      </w:r>
      <w:r>
        <w:rPr>
          <w:rFonts w:ascii="Times New Roman" w:eastAsiaTheme="minorEastAsia" w:hAnsi="Times New Roman" w:cs="Times New Roman"/>
        </w:rPr>
        <w:t xml:space="preserve">Findings from this study will be incorporated into two </w:t>
      </w:r>
      <w:r w:rsidR="00D93C2F">
        <w:rPr>
          <w:rFonts w:ascii="Times New Roman" w:eastAsiaTheme="minorEastAsia" w:hAnsi="Times New Roman" w:cs="Times New Roman"/>
        </w:rPr>
        <w:t xml:space="preserve">publications by the Mississippi State University Extension Service. The first publication will </w:t>
      </w:r>
      <w:r w:rsidR="0074587D">
        <w:rPr>
          <w:rFonts w:ascii="Times New Roman" w:eastAsiaTheme="minorEastAsia" w:hAnsi="Times New Roman" w:cs="Times New Roman"/>
        </w:rPr>
        <w:t>focus on developing pre-harvest marketing strategies, and the second will focus on</w:t>
      </w:r>
      <w:r w:rsidR="00284EFD">
        <w:rPr>
          <w:rFonts w:ascii="Times New Roman" w:eastAsiaTheme="minorEastAsia" w:hAnsi="Times New Roman" w:cs="Times New Roman"/>
        </w:rPr>
        <w:t xml:space="preserve"> post-harvest marketing strategies. These publications are currently be</w:t>
      </w:r>
      <w:r w:rsidR="00A752B8">
        <w:rPr>
          <w:rFonts w:ascii="Times New Roman" w:eastAsiaTheme="minorEastAsia" w:hAnsi="Times New Roman" w:cs="Times New Roman"/>
        </w:rPr>
        <w:t xml:space="preserve">ing drafted. </w:t>
      </w:r>
    </w:p>
    <w:p w14:paraId="6687F49D" w14:textId="77777777" w:rsidR="00CF2A87" w:rsidRDefault="00CF2A87" w:rsidP="00CF2A87">
      <w:pPr>
        <w:spacing w:after="0"/>
        <w:rPr>
          <w:rFonts w:ascii="Times New Roman" w:hAnsi="Times New Roman" w:cs="Times New Roman"/>
        </w:rPr>
      </w:pPr>
    </w:p>
    <w:p w14:paraId="4D75E9C8" w14:textId="77777777" w:rsidR="00CF2A87" w:rsidRDefault="00CF2A87" w:rsidP="00CF2A87">
      <w:pPr>
        <w:spacing w:after="0"/>
        <w:rPr>
          <w:rFonts w:ascii="Times New Roman" w:hAnsi="Times New Roman" w:cs="Times New Roman"/>
        </w:rPr>
      </w:pPr>
    </w:p>
    <w:p w14:paraId="0CB1FAF2" w14:textId="77777777" w:rsidR="00CF2A87" w:rsidRDefault="00CF2A87" w:rsidP="00CF2A87">
      <w:pPr>
        <w:spacing w:after="0"/>
        <w:rPr>
          <w:rFonts w:ascii="Times New Roman" w:hAnsi="Times New Roman" w:cs="Times New Roman"/>
        </w:rPr>
      </w:pPr>
    </w:p>
    <w:p w14:paraId="26C471A3" w14:textId="77777777" w:rsidR="00CF2A87" w:rsidRDefault="00CF2A87" w:rsidP="00CF2A87">
      <w:pPr>
        <w:spacing w:after="0"/>
        <w:rPr>
          <w:rFonts w:ascii="Times New Roman" w:hAnsi="Times New Roman" w:cs="Times New Roman"/>
        </w:rPr>
      </w:pPr>
    </w:p>
    <w:p w14:paraId="42A01EDE" w14:textId="77777777" w:rsidR="00CF2A87" w:rsidRDefault="00CF2A87" w:rsidP="00CF2A87">
      <w:pPr>
        <w:spacing w:after="0"/>
        <w:rPr>
          <w:rFonts w:ascii="Times New Roman" w:hAnsi="Times New Roman" w:cs="Times New Roman"/>
        </w:rPr>
      </w:pPr>
    </w:p>
    <w:p w14:paraId="3AE74472" w14:textId="77777777" w:rsidR="00CF2A87" w:rsidRDefault="00CF2A87" w:rsidP="00CF2A87">
      <w:pPr>
        <w:spacing w:after="0"/>
        <w:rPr>
          <w:rFonts w:ascii="Times New Roman" w:hAnsi="Times New Roman" w:cs="Times New Roman"/>
        </w:rPr>
      </w:pPr>
    </w:p>
    <w:p w14:paraId="14158D21" w14:textId="4F45BD0A" w:rsidR="007E0ABA" w:rsidRDefault="007E0AB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41720578" w14:textId="4DC5CBDE" w:rsidR="009D20DD" w:rsidRPr="00187905" w:rsidRDefault="007E0ABA" w:rsidP="0018790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lastRenderedPageBreak/>
        <w:t>Tables</w:t>
      </w:r>
    </w:p>
    <w:p w14:paraId="44599B2D" w14:textId="77777777" w:rsidR="002151E7" w:rsidRPr="0063701B" w:rsidRDefault="002151E7" w:rsidP="009D20DD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24444281" w14:textId="64D8407E" w:rsidR="00171E8C" w:rsidRDefault="00171E8C" w:rsidP="004E5EAC">
      <w:p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Table </w:t>
      </w:r>
      <w:r w:rsidR="00EC0E20">
        <w:rPr>
          <w:rFonts w:ascii="Times New Roman" w:eastAsiaTheme="minorEastAsia" w:hAnsi="Times New Roman" w:cs="Times New Roman"/>
        </w:rPr>
        <w:t>1</w:t>
      </w:r>
      <w:r>
        <w:rPr>
          <w:rFonts w:ascii="Times New Roman" w:eastAsiaTheme="minorEastAsia" w:hAnsi="Times New Roman" w:cs="Times New Roman"/>
        </w:rPr>
        <w:t>. Pre-Harvest Marketing Results ($/bu) for Greenwood, MS.</w:t>
      </w: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171E8C" w:rsidRPr="00391167" w14:paraId="1BB86641" w14:textId="77777777" w:rsidTr="000A6A7B">
        <w:trPr>
          <w:trHeight w:val="288"/>
          <w:jc w:val="center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082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Year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CB30" w14:textId="7278AA7F" w:rsidR="00171E8C" w:rsidRPr="00391167" w:rsidRDefault="00E87730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Harvest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E1A8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Target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AF1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MAMJ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D782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Hybrid</w:t>
            </w:r>
          </w:p>
        </w:tc>
      </w:tr>
      <w:tr w:rsidR="00171E8C" w:rsidRPr="00391167" w14:paraId="051A75AD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7ECB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E78B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9.29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A95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6E3D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F3FF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10.17</w:t>
            </w:r>
          </w:p>
        </w:tc>
      </w:tr>
      <w:tr w:rsidR="00171E8C" w:rsidRPr="00391167" w14:paraId="7E85317A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20DF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FF9B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82B4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D90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DC3F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9.68</w:t>
            </w:r>
          </w:p>
        </w:tc>
      </w:tr>
      <w:tr w:rsidR="00171E8C" w:rsidRPr="00391167" w14:paraId="4241F599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184B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E29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AF0A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EEB8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EBBF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10.06</w:t>
            </w:r>
          </w:p>
        </w:tc>
      </w:tr>
      <w:tr w:rsidR="00171E8C" w:rsidRPr="00391167" w14:paraId="78DD2595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C81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296C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10.93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FE4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04A3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D954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11.90</w:t>
            </w:r>
          </w:p>
        </w:tc>
      </w:tr>
      <w:tr w:rsidR="00171E8C" w:rsidRPr="00391167" w14:paraId="6C5303A3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BC9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DD1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F94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418B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54DB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12.46</w:t>
            </w:r>
          </w:p>
        </w:tc>
      </w:tr>
      <w:tr w:rsidR="00171E8C" w:rsidRPr="00391167" w14:paraId="045EDDBF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794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81F7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A1EB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8F42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BD7B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13.26</w:t>
            </w:r>
          </w:p>
        </w:tc>
      </w:tr>
      <w:tr w:rsidR="00171E8C" w:rsidRPr="00391167" w14:paraId="128D558F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957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E9F2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8.86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EDB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4DAF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F6C3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10.59</w:t>
            </w:r>
          </w:p>
        </w:tc>
      </w:tr>
      <w:tr w:rsidR="00171E8C" w:rsidRPr="00391167" w14:paraId="0E3EB154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03B3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BF12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F59A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C32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71F5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9.74</w:t>
            </w:r>
          </w:p>
        </w:tc>
      </w:tr>
      <w:tr w:rsidR="00171E8C" w:rsidRPr="00391167" w14:paraId="127B1A80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9785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7F0A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858A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9.56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CFFC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A9A6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10.09</w:t>
            </w:r>
          </w:p>
        </w:tc>
      </w:tr>
      <w:tr w:rsidR="00171E8C" w:rsidRPr="00391167" w14:paraId="3AE94CEF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6822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ACB3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52BF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762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81E0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8.98</w:t>
            </w:r>
          </w:p>
        </w:tc>
      </w:tr>
      <w:tr w:rsidR="00171E8C" w:rsidRPr="00391167" w14:paraId="2AC2AC28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4FA8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A9E9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2D3C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0542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59C5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9.01</w:t>
            </w:r>
          </w:p>
        </w:tc>
      </w:tr>
      <w:tr w:rsidR="00171E8C" w:rsidRPr="00391167" w14:paraId="5355FAC6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3DB5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094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CE8A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5427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5C13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8.58</w:t>
            </w:r>
          </w:p>
        </w:tc>
      </w:tr>
      <w:tr w:rsidR="00171E8C" w:rsidRPr="00391167" w14:paraId="62041EA9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6EC6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6A89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E3FC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08B2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7FD0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9.99</w:t>
            </w:r>
          </w:p>
        </w:tc>
      </w:tr>
      <w:tr w:rsidR="00171E8C" w:rsidRPr="00391167" w14:paraId="300AF619" w14:textId="77777777" w:rsidTr="000A6A7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19E7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8AF6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C340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5DD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069A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11.07</w:t>
            </w:r>
          </w:p>
        </w:tc>
      </w:tr>
      <w:tr w:rsidR="00171E8C" w:rsidRPr="00391167" w14:paraId="1C05C777" w14:textId="77777777" w:rsidTr="0082666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E0BF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CAB1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12.37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B0D5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11.83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AEA0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13.34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0266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11.83</w:t>
            </w:r>
          </w:p>
        </w:tc>
      </w:tr>
      <w:tr w:rsidR="00171E8C" w:rsidRPr="00391167" w14:paraId="69A9FE6F" w14:textId="77777777" w:rsidTr="0082666B">
        <w:trPr>
          <w:trHeight w:val="315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F3DA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C0F2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DA16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11.84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D2D1E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11.67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E1C5" w14:textId="77777777" w:rsidR="00171E8C" w:rsidRPr="00391167" w:rsidRDefault="00171E8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911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12.03</w:t>
            </w:r>
          </w:p>
        </w:tc>
      </w:tr>
      <w:tr w:rsidR="00EC0E20" w:rsidRPr="00391167" w14:paraId="0C4E96C7" w14:textId="77777777" w:rsidTr="0082666B">
        <w:trPr>
          <w:trHeight w:val="315"/>
          <w:jc w:val="center"/>
        </w:trPr>
        <w:tc>
          <w:tcPr>
            <w:tcW w:w="15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6CC502" w14:textId="6B904FB7" w:rsidR="00EC0E20" w:rsidRPr="0082666B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266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Avg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CEABBB" w14:textId="1A4F1FFC" w:rsidR="00EC0E20" w:rsidRPr="0082666B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2666B">
              <w:rPr>
                <w:rFonts w:ascii="Times New Roman" w:hAnsi="Times New Roman" w:cs="Times New Roman"/>
                <w:b/>
                <w:bCs/>
                <w:color w:val="000000"/>
              </w:rPr>
              <w:t>10.39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9EDBC8" w14:textId="688ACDCD" w:rsidR="00EC0E20" w:rsidRPr="0082666B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2666B">
              <w:rPr>
                <w:rFonts w:ascii="Times New Roman" w:hAnsi="Times New Roman" w:cs="Times New Roman"/>
                <w:b/>
                <w:bCs/>
                <w:color w:val="000000"/>
              </w:rPr>
              <w:t>10.51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625FFF" w14:textId="300627B6" w:rsidR="00EC0E20" w:rsidRPr="0082666B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2666B">
              <w:rPr>
                <w:rFonts w:ascii="Times New Roman" w:hAnsi="Times New Roman" w:cs="Times New Roman"/>
                <w:b/>
                <w:bCs/>
                <w:color w:val="000000"/>
              </w:rPr>
              <w:t>10.76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099964" w14:textId="772E3CB7" w:rsidR="00EC0E20" w:rsidRPr="0082666B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2666B">
              <w:rPr>
                <w:rFonts w:ascii="Times New Roman" w:hAnsi="Times New Roman" w:cs="Times New Roman"/>
                <w:b/>
                <w:bCs/>
                <w:color w:val="000000"/>
              </w:rPr>
              <w:t>10.59</w:t>
            </w:r>
          </w:p>
        </w:tc>
      </w:tr>
      <w:tr w:rsidR="00EC0E20" w:rsidRPr="00391167" w14:paraId="524685DA" w14:textId="77777777" w:rsidTr="0082666B">
        <w:trPr>
          <w:trHeight w:val="315"/>
          <w:jc w:val="center"/>
        </w:trPr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B43881" w14:textId="43DC433F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E895E9" w14:textId="740CB102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7.68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CBFEF5" w14:textId="25EF93DD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8.26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00EBD2" w14:textId="73083BC1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8.51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63C9EF" w14:textId="1DE95D57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8.58</w:t>
            </w:r>
          </w:p>
        </w:tc>
      </w:tr>
      <w:tr w:rsidR="00EC0E20" w:rsidRPr="00391167" w14:paraId="589D67E1" w14:textId="77777777" w:rsidTr="0082666B">
        <w:trPr>
          <w:trHeight w:val="315"/>
          <w:jc w:val="center"/>
        </w:trPr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2A2238" w14:textId="1CAEA0C2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Max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6F71F8" w14:textId="7259F742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7416B4" w14:textId="006F9571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13.26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97C88A" w14:textId="53C4CA45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13.43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F5251B" w14:textId="3F909814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13.26</w:t>
            </w:r>
          </w:p>
        </w:tc>
      </w:tr>
      <w:tr w:rsidR="00EC0E20" w:rsidRPr="00391167" w14:paraId="462228DD" w14:textId="77777777" w:rsidTr="0082666B">
        <w:trPr>
          <w:trHeight w:val="315"/>
          <w:jc w:val="center"/>
        </w:trPr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05EDFA" w14:textId="475BA075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</w:t>
            </w:r>
            <w:r w:rsidR="00E673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8740BF" w14:textId="589783B3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9.70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CBD0AE" w14:textId="47A44165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10.11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117D34" w14:textId="036D9198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10.42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FCED24" w14:textId="1D7715CA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10.13</w:t>
            </w:r>
          </w:p>
        </w:tc>
      </w:tr>
      <w:tr w:rsidR="00EC0E20" w:rsidRPr="00391167" w14:paraId="70A82A26" w14:textId="77777777" w:rsidTr="0082666B">
        <w:trPr>
          <w:trHeight w:val="315"/>
          <w:jc w:val="center"/>
        </w:trPr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4C60A" w14:textId="7C8BA83E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Stdev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E3424" w14:textId="14C245C4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1.94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31FFE" w14:textId="7BFB31C3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1.39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F4816" w14:textId="6EB10391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1.75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D54B9" w14:textId="17E2CA17" w:rsidR="00EC0E20" w:rsidRPr="00391167" w:rsidRDefault="00EC0E20" w:rsidP="00E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55EFC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</w:tr>
    </w:tbl>
    <w:p w14:paraId="3992C72F" w14:textId="77777777" w:rsidR="00171E8C" w:rsidRPr="0077521A" w:rsidRDefault="00171E8C" w:rsidP="00171E8C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0E753CB0" w14:textId="77777777" w:rsidR="00CA5D0F" w:rsidRDefault="00CA5D0F" w:rsidP="00193D38">
      <w:pPr>
        <w:spacing w:after="0"/>
        <w:rPr>
          <w:rFonts w:ascii="Times New Roman" w:hAnsi="Times New Roman" w:cs="Times New Roman"/>
          <w:b/>
          <w:bCs/>
        </w:rPr>
      </w:pPr>
    </w:p>
    <w:p w14:paraId="403766AE" w14:textId="77777777" w:rsidR="00171E8C" w:rsidRDefault="00171E8C">
      <w:pPr>
        <w:rPr>
          <w:rFonts w:ascii="Times New Roman" w:hAnsi="Times New Roman" w:cs="Times New Roman"/>
        </w:rPr>
      </w:pPr>
    </w:p>
    <w:p w14:paraId="1987FA23" w14:textId="77777777" w:rsidR="0082666B" w:rsidRDefault="0082666B">
      <w:pPr>
        <w:rPr>
          <w:rFonts w:ascii="Times New Roman" w:hAnsi="Times New Roman" w:cs="Times New Roman"/>
        </w:rPr>
      </w:pPr>
    </w:p>
    <w:p w14:paraId="5432665E" w14:textId="77777777" w:rsidR="0082666B" w:rsidRDefault="0082666B">
      <w:pPr>
        <w:rPr>
          <w:rFonts w:ascii="Times New Roman" w:hAnsi="Times New Roman" w:cs="Times New Roman"/>
        </w:rPr>
      </w:pPr>
    </w:p>
    <w:p w14:paraId="61096E9A" w14:textId="77777777" w:rsidR="0082666B" w:rsidRDefault="0082666B">
      <w:pPr>
        <w:rPr>
          <w:rFonts w:ascii="Times New Roman" w:hAnsi="Times New Roman" w:cs="Times New Roman"/>
        </w:rPr>
      </w:pPr>
    </w:p>
    <w:p w14:paraId="05EC3D38" w14:textId="77777777" w:rsidR="0082666B" w:rsidRDefault="0082666B">
      <w:pPr>
        <w:rPr>
          <w:rFonts w:ascii="Times New Roman" w:hAnsi="Times New Roman" w:cs="Times New Roman"/>
        </w:rPr>
      </w:pPr>
    </w:p>
    <w:p w14:paraId="276B16F4" w14:textId="77777777" w:rsidR="0082666B" w:rsidRDefault="0082666B">
      <w:pPr>
        <w:rPr>
          <w:rFonts w:ascii="Times New Roman" w:hAnsi="Times New Roman" w:cs="Times New Roman"/>
        </w:rPr>
      </w:pPr>
    </w:p>
    <w:p w14:paraId="39839D82" w14:textId="77777777" w:rsidR="0082666B" w:rsidRDefault="0082666B">
      <w:pPr>
        <w:rPr>
          <w:rFonts w:ascii="Times New Roman" w:hAnsi="Times New Roman" w:cs="Times New Roman"/>
        </w:rPr>
      </w:pPr>
    </w:p>
    <w:p w14:paraId="39779AAB" w14:textId="77777777" w:rsidR="0082666B" w:rsidRDefault="0082666B">
      <w:pPr>
        <w:rPr>
          <w:rFonts w:ascii="Times New Roman" w:hAnsi="Times New Roman" w:cs="Times New Roman"/>
        </w:rPr>
      </w:pPr>
    </w:p>
    <w:p w14:paraId="0E181541" w14:textId="77777777" w:rsidR="0082666B" w:rsidRDefault="0082666B">
      <w:pPr>
        <w:rPr>
          <w:rFonts w:ascii="Times New Roman" w:hAnsi="Times New Roman" w:cs="Times New Roman"/>
        </w:rPr>
      </w:pPr>
    </w:p>
    <w:p w14:paraId="38AAC08A" w14:textId="3B39DD2E" w:rsidR="00BF5CA4" w:rsidRDefault="00BF5CA4" w:rsidP="004E5EAC">
      <w:p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Table </w:t>
      </w:r>
      <w:r w:rsidR="00CA0418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>. Pre-Harvest Marketing Results ($/bu) for Greenville, MS.</w:t>
      </w:r>
    </w:p>
    <w:tbl>
      <w:tblPr>
        <w:tblW w:w="792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BF5CA4" w:rsidRPr="00254A5F" w14:paraId="19CF32C7" w14:textId="77777777" w:rsidTr="000A6A7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4308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Crop Year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35AA" w14:textId="72794F03" w:rsidR="00BF5CA4" w:rsidRPr="00254A5F" w:rsidRDefault="00E87730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799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Target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7E14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MAMJ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B9A1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Hybrid</w:t>
            </w:r>
          </w:p>
        </w:tc>
      </w:tr>
      <w:tr w:rsidR="00BF5CA4" w:rsidRPr="00254A5F" w14:paraId="2BE16E8E" w14:textId="77777777" w:rsidTr="000A6A7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B53D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C0CC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9.54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192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10.42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7140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11.61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7B77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10.42</w:t>
            </w:r>
          </w:p>
        </w:tc>
      </w:tr>
      <w:tr w:rsidR="00BF5CA4" w:rsidRPr="00254A5F" w14:paraId="3B2D402E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25B0DC3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A2BB2F3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9.25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97D0E8F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A485A6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9.42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BA81B54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9.88</w:t>
            </w:r>
          </w:p>
        </w:tc>
      </w:tr>
      <w:tr w:rsidR="00BF5CA4" w:rsidRPr="00254A5F" w14:paraId="5D2CB397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203F64F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D0D071E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10.82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7D7029B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E8BE621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9.58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808302B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10.31</w:t>
            </w:r>
          </w:p>
        </w:tc>
      </w:tr>
      <w:tr w:rsidR="00BF5CA4" w:rsidRPr="00254A5F" w14:paraId="7C92D070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6F29D1F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4826C00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A762F9D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0D7E5E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12.68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7B597F1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12.15</w:t>
            </w:r>
          </w:p>
        </w:tc>
      </w:tr>
      <w:tr w:rsidR="00BF5CA4" w:rsidRPr="00254A5F" w14:paraId="1EF34FFF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7535B5D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3E4D03B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15.40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C155248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12.71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9026EBF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13.68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D5F6005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12.71</w:t>
            </w:r>
          </w:p>
        </w:tc>
      </w:tr>
      <w:tr w:rsidR="00BF5CA4" w:rsidRPr="00254A5F" w14:paraId="393BCDDE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750BB9B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F3A1E92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12.98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3B3AB38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EBC57A3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12.81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A7AEF51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13.06</w:t>
            </w:r>
          </w:p>
        </w:tc>
      </w:tr>
      <w:tr w:rsidR="00BF5CA4" w:rsidRPr="00254A5F" w14:paraId="5C9D99F1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6559683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C7C09C3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D8F6671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10.91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159C668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11.48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1D56F5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10.91</w:t>
            </w:r>
          </w:p>
        </w:tc>
      </w:tr>
      <w:tr w:rsidR="00BF5CA4" w:rsidRPr="00254A5F" w14:paraId="72D98204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527A172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C6965A8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9.11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26DD6AA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AD122AD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9.67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42C4ED8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10.40</w:t>
            </w:r>
          </w:p>
        </w:tc>
      </w:tr>
      <w:tr w:rsidR="00BF5CA4" w:rsidRPr="00254A5F" w14:paraId="3DB6933D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D5DD395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8AC5FC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9.64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DDA19A1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3162175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9.97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30E7BF7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10.52</w:t>
            </w:r>
          </w:p>
        </w:tc>
      </w:tr>
      <w:tr w:rsidR="00BF5CA4" w:rsidRPr="00254A5F" w14:paraId="2EEE4741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03B6334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15985C7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9.25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26DEC81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9.39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16AFBC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9.28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76092D8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9.38</w:t>
            </w:r>
          </w:p>
        </w:tc>
      </w:tr>
      <w:tr w:rsidR="00BF5CA4" w:rsidRPr="00254A5F" w14:paraId="795C3C27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63059D7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7F33CB0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7.98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96BEC87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8.51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C5DC08C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9.29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3B09BF8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9.12</w:t>
            </w:r>
          </w:p>
        </w:tc>
      </w:tr>
      <w:tr w:rsidR="00BF5CA4" w:rsidRPr="00254A5F" w14:paraId="7804B13C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27C93CF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03F5EEA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8.95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A29145E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9.01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4FF406E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8.87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F576D31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9.01</w:t>
            </w:r>
          </w:p>
        </w:tc>
      </w:tr>
      <w:tr w:rsidR="00BF5CA4" w:rsidRPr="00254A5F" w14:paraId="26D7490D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7105317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85082C7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3B5FBF0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78EF28A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9.30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1FB757F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10.33</w:t>
            </w:r>
          </w:p>
        </w:tc>
      </w:tr>
      <w:tr w:rsidR="00BF5CA4" w:rsidRPr="00254A5F" w14:paraId="33FF6380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C1A4F3E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85ECE00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8118CA0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44C9990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12.97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9ABEF12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11.37</w:t>
            </w:r>
          </w:p>
        </w:tc>
      </w:tr>
      <w:tr w:rsidR="00BF5CA4" w:rsidRPr="00254A5F" w14:paraId="7662DB40" w14:textId="77777777" w:rsidTr="00187905">
        <w:trPr>
          <w:trHeight w:val="317"/>
          <w:jc w:val="center"/>
        </w:trPr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98F6CC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2022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40CD05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12.82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061BA6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12.28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45F7942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13.79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BBBD89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12.28</w:t>
            </w:r>
          </w:p>
        </w:tc>
      </w:tr>
      <w:tr w:rsidR="00BF5CA4" w:rsidRPr="00254A5F" w14:paraId="3933FE79" w14:textId="77777777" w:rsidTr="00187905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614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29C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12.06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03D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12.53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DEA2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12.12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B09" w14:textId="77777777" w:rsidR="00BF5CA4" w:rsidRPr="00254A5F" w:rsidRDefault="00BF5CA4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12.48</w:t>
            </w:r>
          </w:p>
        </w:tc>
      </w:tr>
      <w:tr w:rsidR="005E7513" w:rsidRPr="00254A5F" w14:paraId="54C1E76F" w14:textId="77777777" w:rsidTr="00187905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3763C5" w14:textId="408CE586" w:rsidR="005E7513" w:rsidRPr="008E2918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E29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Avg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FB69AA" w14:textId="784E18EC" w:rsidR="005E7513" w:rsidRPr="008E2918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E29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10.67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116437" w14:textId="671F0E5E" w:rsidR="005E7513" w:rsidRPr="008E2918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E29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10.81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3E7A6E" w14:textId="2D771713" w:rsidR="005E7513" w:rsidRPr="008E2918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E29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11.03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EBAFBF" w14:textId="4CBCEF18" w:rsidR="005E7513" w:rsidRPr="008E2918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E29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10.90</w:t>
            </w:r>
          </w:p>
        </w:tc>
      </w:tr>
      <w:tr w:rsidR="005E7513" w:rsidRPr="00254A5F" w14:paraId="1E0ACE13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2DD87E3E" w14:textId="072D5898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56FE018" w14:textId="71AC6FC5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7.98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FF4F52E" w14:textId="7F48CD60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8.51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36E8DDF" w14:textId="26FBE2F9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8.87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3458BA4" w14:textId="283F311E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9.01</w:t>
            </w:r>
          </w:p>
        </w:tc>
      </w:tr>
      <w:tr w:rsidR="005E7513" w:rsidRPr="00254A5F" w14:paraId="5112CEB8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1F906AED" w14:textId="1B4C0A64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Max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262BD2D" w14:textId="4F376489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15.40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10007DE" w14:textId="1B18BD2E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13.06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93AA30C" w14:textId="1F1E4649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13.79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98DD434" w14:textId="677B1750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13.06</w:t>
            </w:r>
          </w:p>
        </w:tc>
      </w:tr>
      <w:tr w:rsidR="005E7513" w:rsidRPr="00254A5F" w14:paraId="3FC986B5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59913E30" w14:textId="0CA04DA9" w:rsidR="005E7513" w:rsidRPr="00254A5F" w:rsidRDefault="00E67348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40B8D02" w14:textId="6F874F53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A2D49D6" w14:textId="34FB0BFA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67674D9" w14:textId="1E075428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10.72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96DAE6E" w14:textId="1A34504F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10.47</w:t>
            </w:r>
          </w:p>
        </w:tc>
      </w:tr>
      <w:tr w:rsidR="005E7513" w:rsidRPr="00254A5F" w14:paraId="74164265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314191F1" w14:textId="63F9AF01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Stdev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B888944" w14:textId="7CBB9E10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1.90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006D0D2" w14:textId="44ABD0CF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1.35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085B6F9" w14:textId="0E767EED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1.72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4C92827" w14:textId="72F008E3" w:rsidR="005E7513" w:rsidRPr="00254A5F" w:rsidRDefault="005E7513" w:rsidP="005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1.26</w:t>
            </w:r>
          </w:p>
        </w:tc>
      </w:tr>
    </w:tbl>
    <w:p w14:paraId="1AB63882" w14:textId="77777777" w:rsidR="00BF5CA4" w:rsidRDefault="00BF5CA4" w:rsidP="00BF5CA4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</w:p>
    <w:p w14:paraId="71DF0E86" w14:textId="77777777" w:rsidR="00BF5CA4" w:rsidRDefault="00BF5CA4">
      <w:pPr>
        <w:rPr>
          <w:rFonts w:ascii="Times New Roman" w:hAnsi="Times New Roman" w:cs="Times New Roman"/>
        </w:rPr>
      </w:pPr>
    </w:p>
    <w:p w14:paraId="5B32F543" w14:textId="77777777" w:rsidR="0082666B" w:rsidRDefault="0082666B">
      <w:pPr>
        <w:rPr>
          <w:rFonts w:ascii="Times New Roman" w:hAnsi="Times New Roman" w:cs="Times New Roman"/>
        </w:rPr>
      </w:pPr>
    </w:p>
    <w:p w14:paraId="5CE0AA3A" w14:textId="77777777" w:rsidR="0082666B" w:rsidRDefault="0082666B">
      <w:pPr>
        <w:rPr>
          <w:rFonts w:ascii="Times New Roman" w:hAnsi="Times New Roman" w:cs="Times New Roman"/>
        </w:rPr>
      </w:pPr>
    </w:p>
    <w:p w14:paraId="466BC10A" w14:textId="77777777" w:rsidR="0082666B" w:rsidRDefault="0082666B">
      <w:pPr>
        <w:rPr>
          <w:rFonts w:ascii="Times New Roman" w:hAnsi="Times New Roman" w:cs="Times New Roman"/>
        </w:rPr>
      </w:pPr>
    </w:p>
    <w:p w14:paraId="65A328A6" w14:textId="77777777" w:rsidR="0082666B" w:rsidRDefault="0082666B">
      <w:pPr>
        <w:rPr>
          <w:rFonts w:ascii="Times New Roman" w:hAnsi="Times New Roman" w:cs="Times New Roman"/>
        </w:rPr>
      </w:pPr>
    </w:p>
    <w:p w14:paraId="2BA64FDF" w14:textId="77777777" w:rsidR="0082666B" w:rsidRDefault="0082666B">
      <w:pPr>
        <w:rPr>
          <w:rFonts w:ascii="Times New Roman" w:hAnsi="Times New Roman" w:cs="Times New Roman"/>
        </w:rPr>
      </w:pPr>
    </w:p>
    <w:p w14:paraId="57D2F9AD" w14:textId="77777777" w:rsidR="0082666B" w:rsidRDefault="0082666B">
      <w:pPr>
        <w:rPr>
          <w:rFonts w:ascii="Times New Roman" w:hAnsi="Times New Roman" w:cs="Times New Roman"/>
        </w:rPr>
      </w:pPr>
    </w:p>
    <w:p w14:paraId="68968FBD" w14:textId="77777777" w:rsidR="0082666B" w:rsidRDefault="0082666B">
      <w:pPr>
        <w:rPr>
          <w:rFonts w:ascii="Times New Roman" w:hAnsi="Times New Roman" w:cs="Times New Roman"/>
        </w:rPr>
      </w:pPr>
    </w:p>
    <w:p w14:paraId="7F52FABB" w14:textId="77777777" w:rsidR="0082666B" w:rsidRDefault="0082666B">
      <w:pPr>
        <w:rPr>
          <w:rFonts w:ascii="Times New Roman" w:hAnsi="Times New Roman" w:cs="Times New Roman"/>
        </w:rPr>
      </w:pPr>
    </w:p>
    <w:p w14:paraId="42C1EB6E" w14:textId="77777777" w:rsidR="00FE6CB8" w:rsidRDefault="00FE6CB8">
      <w:pPr>
        <w:rPr>
          <w:rFonts w:ascii="Times New Roman" w:hAnsi="Times New Roman" w:cs="Times New Roman"/>
        </w:rPr>
      </w:pPr>
    </w:p>
    <w:p w14:paraId="5E1BA930" w14:textId="77777777" w:rsidR="0082666B" w:rsidRDefault="0082666B">
      <w:pPr>
        <w:rPr>
          <w:rFonts w:ascii="Times New Roman" w:hAnsi="Times New Roman" w:cs="Times New Roman"/>
        </w:rPr>
      </w:pPr>
    </w:p>
    <w:p w14:paraId="127C4858" w14:textId="6F8841CC" w:rsidR="00BF5CA4" w:rsidRDefault="00BF5CA4" w:rsidP="004E5EAC">
      <w:p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Table </w:t>
      </w:r>
      <w:r w:rsidR="00916970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/>
        </w:rPr>
        <w:t xml:space="preserve">. </w:t>
      </w:r>
      <w:r w:rsidR="006B72EC">
        <w:rPr>
          <w:rFonts w:ascii="Times New Roman" w:eastAsiaTheme="minorEastAsia" w:hAnsi="Times New Roman" w:cs="Times New Roman"/>
        </w:rPr>
        <w:t xml:space="preserve">January </w:t>
      </w:r>
      <w:r>
        <w:rPr>
          <w:rFonts w:ascii="Times New Roman" w:eastAsiaTheme="minorEastAsia" w:hAnsi="Times New Roman" w:cs="Times New Roman"/>
        </w:rPr>
        <w:t>Post-Harvest Marketing Results ($/bu) for Greenwood, MS.</w:t>
      </w:r>
    </w:p>
    <w:tbl>
      <w:tblPr>
        <w:tblW w:w="950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345B38" w:rsidRPr="00254A5F" w14:paraId="2B16170B" w14:textId="3B274EED" w:rsidTr="000A6A7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0A3F" w14:textId="77777777" w:rsidR="00345B38" w:rsidRPr="00254A5F" w:rsidRDefault="00345B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Crop Year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E828" w14:textId="5707E3A4" w:rsidR="00345B38" w:rsidRPr="00254A5F" w:rsidRDefault="004E5EA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1522" w14:textId="1A96D871" w:rsidR="00345B38" w:rsidRPr="00254A5F" w:rsidRDefault="004E5EA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Cash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8195" w14:textId="4AD40717" w:rsidR="00345B38" w:rsidRPr="00254A5F" w:rsidRDefault="004E5EA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Carry or Store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0EDD" w14:textId="10CF1C07" w:rsidR="00345B38" w:rsidRPr="00254A5F" w:rsidRDefault="004E5EA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Carry or 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BA3E6" w14:textId="0E54717D" w:rsidR="00345B38" w:rsidRPr="00254A5F" w:rsidRDefault="004E5EAC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Next Harvest</w:t>
            </w:r>
          </w:p>
        </w:tc>
      </w:tr>
      <w:tr w:rsidR="007E106F" w:rsidRPr="00254A5F" w14:paraId="59B9BBC0" w14:textId="6E0033E5" w:rsidTr="000A6A7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C3E9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7CFC" w14:textId="65047CC8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CA5B" w14:textId="39587180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9.43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3BC" w14:textId="56632C71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10.14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A27F" w14:textId="426E74F4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10.14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18D3BCAC" w14:textId="3F82D982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8.26</w:t>
            </w:r>
          </w:p>
        </w:tc>
      </w:tr>
      <w:tr w:rsidR="007E106F" w:rsidRPr="00254A5F" w14:paraId="47554345" w14:textId="1498DC71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56497E1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F23787E" w14:textId="793EDC0E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D246E0" w14:textId="12C9EF3F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3F5D5B1" w14:textId="62F3572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913CABB" w14:textId="7BE990BA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584" w:type="dxa"/>
            <w:vAlign w:val="center"/>
          </w:tcPr>
          <w:p w14:paraId="474DA5D4" w14:textId="22E48E43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9.92</w:t>
            </w:r>
          </w:p>
        </w:tc>
      </w:tr>
      <w:tr w:rsidR="007E106F" w:rsidRPr="00254A5F" w14:paraId="7A1457AB" w14:textId="2104EB4D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D029804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78EA526" w14:textId="6B58C1E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6627887" w14:textId="330EF944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12.95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AB67EBA" w14:textId="4AA3DCE2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12.95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6287B71" w14:textId="21281494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10.57</w:t>
            </w:r>
          </w:p>
        </w:tc>
        <w:tc>
          <w:tcPr>
            <w:tcW w:w="1584" w:type="dxa"/>
            <w:vAlign w:val="center"/>
          </w:tcPr>
          <w:p w14:paraId="54C39FAB" w14:textId="68F3F182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10.17</w:t>
            </w:r>
          </w:p>
        </w:tc>
      </w:tr>
      <w:tr w:rsidR="007E106F" w:rsidRPr="00254A5F" w14:paraId="6767F530" w14:textId="34D39A91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9742F1B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94025E7" w14:textId="5B4362E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10.93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CFAFBF1" w14:textId="34A1F0CD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11.51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A00B1E" w14:textId="61E8B480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11.51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DD74B14" w14:textId="33EA04B6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10.93</w:t>
            </w:r>
          </w:p>
        </w:tc>
        <w:tc>
          <w:tcPr>
            <w:tcW w:w="1584" w:type="dxa"/>
            <w:vAlign w:val="center"/>
          </w:tcPr>
          <w:p w14:paraId="34DD7A74" w14:textId="12BBEE06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14.39</w:t>
            </w:r>
          </w:p>
        </w:tc>
      </w:tr>
      <w:tr w:rsidR="007E106F" w:rsidRPr="00254A5F" w14:paraId="56D48AE7" w14:textId="6B658B88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3611C0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753A807" w14:textId="0FBB09F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F61CDA3" w14:textId="70FBD094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61ACFC9" w14:textId="7C6F561D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DA24F99" w14:textId="115ADA69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584" w:type="dxa"/>
            <w:vAlign w:val="center"/>
          </w:tcPr>
          <w:p w14:paraId="31A6CA22" w14:textId="79137D15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12.18</w:t>
            </w:r>
          </w:p>
        </w:tc>
      </w:tr>
      <w:tr w:rsidR="007E106F" w:rsidRPr="00254A5F" w14:paraId="026221AF" w14:textId="2F55EBB6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2E1B688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824477D" w14:textId="065411D5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2D75635" w14:textId="0784B391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A131A40" w14:textId="7D26A305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9E2F1C7" w14:textId="60A96798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1584" w:type="dxa"/>
            <w:vAlign w:val="center"/>
          </w:tcPr>
          <w:p w14:paraId="0E405FA4" w14:textId="08E8381E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8.00</w:t>
            </w:r>
          </w:p>
        </w:tc>
      </w:tr>
      <w:tr w:rsidR="007E106F" w:rsidRPr="00254A5F" w14:paraId="32034DBF" w14:textId="3DF329A1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9B2E782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F680ACC" w14:textId="505A0E42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8.86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572F0CB" w14:textId="10E20264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58C6B48" w14:textId="2B8C30B9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9.19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6FC8EE8" w14:textId="7F33D41F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9.19</w:t>
            </w:r>
          </w:p>
        </w:tc>
        <w:tc>
          <w:tcPr>
            <w:tcW w:w="1584" w:type="dxa"/>
            <w:vAlign w:val="center"/>
          </w:tcPr>
          <w:p w14:paraId="3490DF7A" w14:textId="34D71D88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8.33</w:t>
            </w:r>
          </w:p>
        </w:tc>
      </w:tr>
      <w:tr w:rsidR="007E106F" w:rsidRPr="00254A5F" w14:paraId="5E500419" w14:textId="144FD8A6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3CA6EB4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805D2D2" w14:textId="57682C05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8.89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2759D8E" w14:textId="5F96DC41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8.71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52A0D35" w14:textId="5E8D8276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8.71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9495BB6" w14:textId="332DD849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8.89</w:t>
            </w:r>
          </w:p>
        </w:tc>
        <w:tc>
          <w:tcPr>
            <w:tcW w:w="1584" w:type="dxa"/>
            <w:vAlign w:val="center"/>
          </w:tcPr>
          <w:p w14:paraId="56371D03" w14:textId="54030486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8.79</w:t>
            </w:r>
          </w:p>
        </w:tc>
      </w:tr>
      <w:tr w:rsidR="007E106F" w:rsidRPr="00254A5F" w14:paraId="2A2CCE1F" w14:textId="12DCC525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EBA08A7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1EAB2C8" w14:textId="520D3473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9.34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3D95A68" w14:textId="2ABB8EE3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9.66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46E00A7" w14:textId="66347CA1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9.66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B1BF256" w14:textId="7AE66DD6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9.34</w:t>
            </w:r>
          </w:p>
        </w:tc>
        <w:tc>
          <w:tcPr>
            <w:tcW w:w="1584" w:type="dxa"/>
            <w:vAlign w:val="center"/>
          </w:tcPr>
          <w:p w14:paraId="3A83E400" w14:textId="092172EF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8.38</w:t>
            </w:r>
          </w:p>
        </w:tc>
      </w:tr>
      <w:tr w:rsidR="007E106F" w:rsidRPr="00254A5F" w14:paraId="191479C5" w14:textId="4BC4D99B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3EC3EED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936BE65" w14:textId="67A3A985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43320A6" w14:textId="1872BA95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8787916" w14:textId="5650555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0CA39B3" w14:textId="4BE285E0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1584" w:type="dxa"/>
            <w:vAlign w:val="center"/>
          </w:tcPr>
          <w:p w14:paraId="59DCF150" w14:textId="1CE1AD70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7.13</w:t>
            </w:r>
          </w:p>
        </w:tc>
      </w:tr>
      <w:tr w:rsidR="007E106F" w:rsidRPr="00254A5F" w14:paraId="5E52EE02" w14:textId="07739F73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1904A37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77BFD0A" w14:textId="21A79E66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AA75966" w14:textId="6D018314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11D860F" w14:textId="3E426746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7.92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4ACA56C" w14:textId="2CD189E9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7.92</w:t>
            </w:r>
          </w:p>
        </w:tc>
        <w:tc>
          <w:tcPr>
            <w:tcW w:w="1584" w:type="dxa"/>
            <w:vAlign w:val="center"/>
          </w:tcPr>
          <w:p w14:paraId="79B8A3F0" w14:textId="3196C3E1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8.08</w:t>
            </w:r>
          </w:p>
        </w:tc>
      </w:tr>
      <w:tr w:rsidR="007E106F" w:rsidRPr="00254A5F" w14:paraId="74F4CB0C" w14:textId="03B18804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E81B166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07F5465" w14:textId="2C701080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FD58553" w14:textId="289215E1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D68AACC" w14:textId="43D2A8EC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8.83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36D58CE" w14:textId="3FB5194D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8.83</w:t>
            </w:r>
          </w:p>
        </w:tc>
        <w:tc>
          <w:tcPr>
            <w:tcW w:w="1584" w:type="dxa"/>
            <w:vAlign w:val="center"/>
          </w:tcPr>
          <w:p w14:paraId="4CBBB72D" w14:textId="1E824C18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9.45</w:t>
            </w:r>
          </w:p>
        </w:tc>
      </w:tr>
      <w:tr w:rsidR="007E106F" w:rsidRPr="00254A5F" w14:paraId="5A3C0E73" w14:textId="264D1A55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E1E80FF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347975F" w14:textId="4266A511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86DE2C" w14:textId="72E683A5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13.17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D05FC7A" w14:textId="3084B351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13.17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9B39A87" w14:textId="423682BC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584" w:type="dxa"/>
            <w:vAlign w:val="center"/>
          </w:tcPr>
          <w:p w14:paraId="76F80412" w14:textId="3AA25EEF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11.20</w:t>
            </w:r>
          </w:p>
        </w:tc>
      </w:tr>
      <w:tr w:rsidR="007E106F" w:rsidRPr="00254A5F" w14:paraId="7BE123EA" w14:textId="7301BA9F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0330B6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E709548" w14:textId="402ECF3C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11.85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01B927F" w14:textId="47B1DB40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CFD37A" w14:textId="45628340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BF0B1C9" w14:textId="3B071544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11.85</w:t>
            </w:r>
          </w:p>
        </w:tc>
        <w:tc>
          <w:tcPr>
            <w:tcW w:w="1584" w:type="dxa"/>
            <w:vAlign w:val="center"/>
          </w:tcPr>
          <w:p w14:paraId="24614C0A" w14:textId="3E59ADCB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11.68</w:t>
            </w:r>
          </w:p>
        </w:tc>
      </w:tr>
      <w:tr w:rsidR="007E106F" w:rsidRPr="00254A5F" w14:paraId="23CA6C22" w14:textId="3B743529" w:rsidTr="0082666B">
        <w:trPr>
          <w:trHeight w:val="317"/>
          <w:jc w:val="center"/>
        </w:trPr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72BB52F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2022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D27237" w14:textId="146F6271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12.37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746CEA" w14:textId="1C8B3F7B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14.43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3832B0A" w14:textId="4DC6F63C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14.43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171D43" w14:textId="323D5893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12.37</w:t>
            </w:r>
          </w:p>
        </w:tc>
        <w:tc>
          <w:tcPr>
            <w:tcW w:w="1584" w:type="dxa"/>
            <w:tcBorders>
              <w:bottom w:val="nil"/>
            </w:tcBorders>
            <w:vAlign w:val="center"/>
          </w:tcPr>
          <w:p w14:paraId="742828E1" w14:textId="239FB922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10.91</w:t>
            </w:r>
          </w:p>
        </w:tc>
      </w:tr>
      <w:tr w:rsidR="007E106F" w:rsidRPr="00254A5F" w14:paraId="49108F93" w14:textId="76CCAC4C" w:rsidTr="0082666B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132" w14:textId="77777777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186" w14:textId="4157065A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11.61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EAA9" w14:textId="0472DD6E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11.86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2C15" w14:textId="7677C476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7E7" w14:textId="2F14397A" w:rsidR="007E106F" w:rsidRPr="00254A5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vAlign w:val="center"/>
          </w:tcPr>
          <w:p w14:paraId="24FACD88" w14:textId="023DDA1C" w:rsidR="007E106F" w:rsidRPr="007E106F" w:rsidRDefault="007E106F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E106F">
              <w:rPr>
                <w:rFonts w:ascii="Times New Roman" w:hAnsi="Times New Roman" w:cs="Times New Roman"/>
              </w:rPr>
              <w:t>9.46</w:t>
            </w:r>
          </w:p>
        </w:tc>
      </w:tr>
      <w:tr w:rsidR="002B1BCE" w:rsidRPr="00254A5F" w14:paraId="7B0549B7" w14:textId="77777777" w:rsidTr="0082666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6D613C" w14:textId="476D940B" w:rsidR="002B1BCE" w:rsidRPr="0082666B" w:rsidRDefault="002B1BCE" w:rsidP="002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666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Avg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3814C9" w14:textId="51D54615" w:rsidR="002B1BCE" w:rsidRPr="0082666B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10.39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8242A1" w14:textId="7DEE7688" w:rsidR="002B1BCE" w:rsidRPr="0082666B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11.11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42EBA3" w14:textId="4046369E" w:rsidR="002B1BCE" w:rsidRPr="0082666B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11.09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569B31" w14:textId="60AA24F0" w:rsidR="002B1BCE" w:rsidRPr="0082666B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10.55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598C6B82" w14:textId="7A57E759" w:rsidR="002B1BCE" w:rsidRPr="0082666B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9.77</w:t>
            </w:r>
          </w:p>
        </w:tc>
      </w:tr>
      <w:tr w:rsidR="002B1BCE" w:rsidRPr="00254A5F" w14:paraId="599FCBE3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14E9FC7A" w14:textId="19532B35" w:rsidR="002B1BCE" w:rsidRPr="00254A5F" w:rsidRDefault="002B1BCE" w:rsidP="002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F8785B2" w14:textId="26AD5D0F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D20F267" w14:textId="63D7C2E4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4003342" w14:textId="675C98BD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7.92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6BB3CA7" w14:textId="665C8AC9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7.92</w:t>
            </w:r>
          </w:p>
        </w:tc>
        <w:tc>
          <w:tcPr>
            <w:tcW w:w="1584" w:type="dxa"/>
            <w:vAlign w:val="center"/>
          </w:tcPr>
          <w:p w14:paraId="581285B1" w14:textId="07453217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7.13</w:t>
            </w:r>
          </w:p>
        </w:tc>
      </w:tr>
      <w:tr w:rsidR="002B1BCE" w:rsidRPr="00254A5F" w14:paraId="7E8FF6E7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625DB594" w14:textId="049F5382" w:rsidR="002B1BCE" w:rsidRPr="00254A5F" w:rsidRDefault="002B1BCE" w:rsidP="002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Max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00BE11B" w14:textId="6F5349B6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2C7A9B1" w14:textId="693FC0C1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14.43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0C5BFD1" w14:textId="4DD28CD8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14.43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D5CB0EF" w14:textId="2172276B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584" w:type="dxa"/>
            <w:vAlign w:val="center"/>
          </w:tcPr>
          <w:p w14:paraId="07FC8BE8" w14:textId="335EEB65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14.39</w:t>
            </w:r>
          </w:p>
        </w:tc>
      </w:tr>
      <w:tr w:rsidR="002B1BCE" w:rsidRPr="00254A5F" w14:paraId="38A57A89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740001E3" w14:textId="50E5D336" w:rsidR="002B1BCE" w:rsidRPr="00254A5F" w:rsidRDefault="00E67348" w:rsidP="002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F5558FA" w14:textId="57663CD9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9.70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8433DDF" w14:textId="0839334B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10.75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6A95FB0" w14:textId="15716B49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AC8CE4F" w14:textId="3B2D9B59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584" w:type="dxa"/>
            <w:vAlign w:val="center"/>
          </w:tcPr>
          <w:p w14:paraId="449F91B4" w14:textId="5FAD7847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9.45</w:t>
            </w:r>
          </w:p>
        </w:tc>
      </w:tr>
      <w:tr w:rsidR="002B1BCE" w:rsidRPr="00254A5F" w14:paraId="59EE912A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3F5AB2EF" w14:textId="1CEC188F" w:rsidR="002B1BCE" w:rsidRPr="00254A5F" w:rsidRDefault="002B1BCE" w:rsidP="002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Stdev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58F5A83" w14:textId="2876D47B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7900558" w14:textId="71C244CD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B29CBD3" w14:textId="44D66FAC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D7D22BC" w14:textId="7186F56B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584" w:type="dxa"/>
            <w:vAlign w:val="center"/>
          </w:tcPr>
          <w:p w14:paraId="44AA7245" w14:textId="61820534" w:rsidR="002B1BCE" w:rsidRPr="007E106F" w:rsidRDefault="002B1BCE" w:rsidP="002B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1.85</w:t>
            </w:r>
          </w:p>
        </w:tc>
      </w:tr>
    </w:tbl>
    <w:p w14:paraId="1B60DF42" w14:textId="77777777" w:rsidR="00BF5CA4" w:rsidRDefault="00BF5CA4" w:rsidP="00BF5CA4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</w:p>
    <w:p w14:paraId="07C170F5" w14:textId="77777777" w:rsidR="007B11F8" w:rsidRDefault="007B11F8">
      <w:pPr>
        <w:rPr>
          <w:rFonts w:ascii="Times New Roman" w:hAnsi="Times New Roman" w:cs="Times New Roman"/>
        </w:rPr>
      </w:pPr>
    </w:p>
    <w:p w14:paraId="6F2846D2" w14:textId="77777777" w:rsidR="002B1BCE" w:rsidRDefault="002B1BCE">
      <w:pPr>
        <w:rPr>
          <w:rFonts w:ascii="Times New Roman" w:hAnsi="Times New Roman" w:cs="Times New Roman"/>
        </w:rPr>
      </w:pPr>
    </w:p>
    <w:p w14:paraId="55D212C8" w14:textId="77777777" w:rsidR="0082666B" w:rsidRDefault="0082666B">
      <w:pPr>
        <w:rPr>
          <w:rFonts w:ascii="Times New Roman" w:hAnsi="Times New Roman" w:cs="Times New Roman"/>
        </w:rPr>
      </w:pPr>
    </w:p>
    <w:p w14:paraId="3ABE3533" w14:textId="77777777" w:rsidR="0082666B" w:rsidRDefault="0082666B">
      <w:pPr>
        <w:rPr>
          <w:rFonts w:ascii="Times New Roman" w:hAnsi="Times New Roman" w:cs="Times New Roman"/>
        </w:rPr>
      </w:pPr>
    </w:p>
    <w:p w14:paraId="126BD9D3" w14:textId="77777777" w:rsidR="0082666B" w:rsidRDefault="0082666B">
      <w:pPr>
        <w:rPr>
          <w:rFonts w:ascii="Times New Roman" w:hAnsi="Times New Roman" w:cs="Times New Roman"/>
        </w:rPr>
      </w:pPr>
    </w:p>
    <w:p w14:paraId="0DCF10EB" w14:textId="77777777" w:rsidR="0082666B" w:rsidRDefault="0082666B">
      <w:pPr>
        <w:rPr>
          <w:rFonts w:ascii="Times New Roman" w:hAnsi="Times New Roman" w:cs="Times New Roman"/>
        </w:rPr>
      </w:pPr>
    </w:p>
    <w:p w14:paraId="4052D5E2" w14:textId="77777777" w:rsidR="0082666B" w:rsidRDefault="0082666B">
      <w:pPr>
        <w:rPr>
          <w:rFonts w:ascii="Times New Roman" w:hAnsi="Times New Roman" w:cs="Times New Roman"/>
        </w:rPr>
      </w:pPr>
    </w:p>
    <w:p w14:paraId="7ADA8709" w14:textId="77777777" w:rsidR="0082666B" w:rsidRDefault="0082666B">
      <w:pPr>
        <w:rPr>
          <w:rFonts w:ascii="Times New Roman" w:hAnsi="Times New Roman" w:cs="Times New Roman"/>
        </w:rPr>
      </w:pPr>
    </w:p>
    <w:p w14:paraId="116BEE81" w14:textId="77777777" w:rsidR="0082666B" w:rsidRDefault="0082666B">
      <w:pPr>
        <w:rPr>
          <w:rFonts w:ascii="Times New Roman" w:hAnsi="Times New Roman" w:cs="Times New Roman"/>
        </w:rPr>
      </w:pPr>
    </w:p>
    <w:p w14:paraId="27A82707" w14:textId="77777777" w:rsidR="0082666B" w:rsidRDefault="0082666B">
      <w:pPr>
        <w:rPr>
          <w:rFonts w:ascii="Times New Roman" w:hAnsi="Times New Roman" w:cs="Times New Roman"/>
        </w:rPr>
      </w:pPr>
    </w:p>
    <w:p w14:paraId="5B6C2455" w14:textId="77777777" w:rsidR="0082666B" w:rsidRDefault="0082666B">
      <w:pPr>
        <w:rPr>
          <w:rFonts w:ascii="Times New Roman" w:hAnsi="Times New Roman" w:cs="Times New Roman"/>
        </w:rPr>
      </w:pPr>
    </w:p>
    <w:p w14:paraId="5DCD5446" w14:textId="045FBE5D" w:rsidR="00CA0418" w:rsidRDefault="00CA0418" w:rsidP="00CA0418">
      <w:p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Table 4. May Post-Harvest Marketing Results ($/bu) for Greenwood, MS.</w:t>
      </w:r>
    </w:p>
    <w:tbl>
      <w:tblPr>
        <w:tblW w:w="950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CA0418" w:rsidRPr="00254A5F" w14:paraId="7308EA76" w14:textId="77777777" w:rsidTr="00D236A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E550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Crop Year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66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1465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Cash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71F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Carry or Store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D0A0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Carry or 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6516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Next Harvest</w:t>
            </w:r>
          </w:p>
        </w:tc>
      </w:tr>
      <w:tr w:rsidR="00CA0418" w:rsidRPr="00254A5F" w14:paraId="20FB84CB" w14:textId="77777777" w:rsidTr="00D236A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93E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BA6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34A5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A5E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10.68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E542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10.68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529D5CA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8.26</w:t>
            </w:r>
          </w:p>
        </w:tc>
      </w:tr>
      <w:tr w:rsidR="00CA0418" w:rsidRPr="00254A5F" w14:paraId="5BED7C55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C22347D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74489F5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B6D613C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8.33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37FD8F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8.33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5072AB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584" w:type="dxa"/>
            <w:vAlign w:val="center"/>
          </w:tcPr>
          <w:p w14:paraId="0EFEB189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9.92</w:t>
            </w:r>
          </w:p>
        </w:tc>
      </w:tr>
      <w:tr w:rsidR="00CA0418" w:rsidRPr="00254A5F" w14:paraId="493B64CD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0C79F1F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53044B9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7C94C97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08C1F76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A9FCD35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10.57</w:t>
            </w:r>
          </w:p>
        </w:tc>
        <w:tc>
          <w:tcPr>
            <w:tcW w:w="1584" w:type="dxa"/>
            <w:vAlign w:val="center"/>
          </w:tcPr>
          <w:p w14:paraId="2F902DD7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10.17</w:t>
            </w:r>
          </w:p>
        </w:tc>
      </w:tr>
      <w:tr w:rsidR="00CA0418" w:rsidRPr="00254A5F" w14:paraId="61CB3D90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696E232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57043D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10.93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EE7B1B4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9990003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DA240B7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10.93</w:t>
            </w:r>
          </w:p>
        </w:tc>
        <w:tc>
          <w:tcPr>
            <w:tcW w:w="1584" w:type="dxa"/>
            <w:vAlign w:val="center"/>
          </w:tcPr>
          <w:p w14:paraId="14998D37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14.39</w:t>
            </w:r>
          </w:p>
        </w:tc>
      </w:tr>
      <w:tr w:rsidR="00CA0418" w:rsidRPr="00254A5F" w14:paraId="511E5399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059B32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B1FBDD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BC35B97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09D9263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805B455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584" w:type="dxa"/>
            <w:vAlign w:val="center"/>
          </w:tcPr>
          <w:p w14:paraId="1DE40EF3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12.18</w:t>
            </w:r>
          </w:p>
        </w:tc>
      </w:tr>
      <w:tr w:rsidR="00CA0418" w:rsidRPr="00254A5F" w14:paraId="39EBEF6E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379EDD3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7A577F1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1F72C8C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13.72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274C216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13.72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446ADEC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1584" w:type="dxa"/>
            <w:vAlign w:val="center"/>
          </w:tcPr>
          <w:p w14:paraId="268AE7D0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8.00</w:t>
            </w:r>
          </w:p>
        </w:tc>
      </w:tr>
      <w:tr w:rsidR="00CA0418" w:rsidRPr="00254A5F" w14:paraId="4C2EE6DB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B4D12C6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6D5F82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8.86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99E52F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9E213FD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125C294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8.86</w:t>
            </w:r>
          </w:p>
        </w:tc>
        <w:tc>
          <w:tcPr>
            <w:tcW w:w="1584" w:type="dxa"/>
            <w:vAlign w:val="center"/>
          </w:tcPr>
          <w:p w14:paraId="40A6704C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8.33</w:t>
            </w:r>
          </w:p>
        </w:tc>
      </w:tr>
      <w:tr w:rsidR="00CA0418" w:rsidRPr="00254A5F" w14:paraId="5A731D7F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E5B31D5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B937CCA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8.89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4272500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9.73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CC3661E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9.73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F313CC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8.89</w:t>
            </w:r>
          </w:p>
        </w:tc>
        <w:tc>
          <w:tcPr>
            <w:tcW w:w="1584" w:type="dxa"/>
            <w:vAlign w:val="center"/>
          </w:tcPr>
          <w:p w14:paraId="6EF57AC0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8.79</w:t>
            </w:r>
          </w:p>
        </w:tc>
      </w:tr>
      <w:tr w:rsidR="00CA0418" w:rsidRPr="00254A5F" w14:paraId="05622CE4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D3F73D2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64AFB3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9.34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594EC44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8.97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D389A6A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8.97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F888057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9.34</w:t>
            </w:r>
          </w:p>
        </w:tc>
        <w:tc>
          <w:tcPr>
            <w:tcW w:w="1584" w:type="dxa"/>
            <w:vAlign w:val="center"/>
          </w:tcPr>
          <w:p w14:paraId="42B06D69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8.38</w:t>
            </w:r>
          </w:p>
        </w:tc>
      </w:tr>
      <w:tr w:rsidR="00CA0418" w:rsidRPr="00254A5F" w14:paraId="3BC6E24E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260CED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6EBE7C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32840D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9.19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A4C801A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9.19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3DB32E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1584" w:type="dxa"/>
            <w:vAlign w:val="center"/>
          </w:tcPr>
          <w:p w14:paraId="3B3D5A88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7.13</w:t>
            </w:r>
          </w:p>
        </w:tc>
      </w:tr>
      <w:tr w:rsidR="00CA0418" w:rsidRPr="00254A5F" w14:paraId="12A01636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7E4AE70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B04F24C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7D0583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ED5846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04573B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1584" w:type="dxa"/>
            <w:vAlign w:val="center"/>
          </w:tcPr>
          <w:p w14:paraId="4375A0A1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8.08</w:t>
            </w:r>
          </w:p>
        </w:tc>
      </w:tr>
      <w:tr w:rsidR="00CA0418" w:rsidRPr="00254A5F" w14:paraId="46D41B87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280C14D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0847CD7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5B62417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79353FC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A09A4EA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584" w:type="dxa"/>
            <w:vAlign w:val="center"/>
          </w:tcPr>
          <w:p w14:paraId="3F0891F4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9.45</w:t>
            </w:r>
          </w:p>
        </w:tc>
      </w:tr>
      <w:tr w:rsidR="00CA0418" w:rsidRPr="00254A5F" w14:paraId="62638957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230D45F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650218B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B23B3F4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3BB650A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72022D3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584" w:type="dxa"/>
            <w:vAlign w:val="center"/>
          </w:tcPr>
          <w:p w14:paraId="16E4CB9A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11.20</w:t>
            </w:r>
          </w:p>
        </w:tc>
      </w:tr>
      <w:tr w:rsidR="00CA0418" w:rsidRPr="00254A5F" w14:paraId="13F8E045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F98C9DD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384F568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11.85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EC7739E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4AB5043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B32E857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11.85</w:t>
            </w:r>
          </w:p>
        </w:tc>
        <w:tc>
          <w:tcPr>
            <w:tcW w:w="1584" w:type="dxa"/>
            <w:vAlign w:val="center"/>
          </w:tcPr>
          <w:p w14:paraId="4B082ED1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11.68</w:t>
            </w:r>
          </w:p>
        </w:tc>
      </w:tr>
      <w:tr w:rsidR="00CA0418" w:rsidRPr="00254A5F" w14:paraId="33CCAC06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C07076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AA73DF3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12.37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D008060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749A856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FCBAD55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12.37</w:t>
            </w:r>
          </w:p>
        </w:tc>
        <w:tc>
          <w:tcPr>
            <w:tcW w:w="1584" w:type="dxa"/>
            <w:vAlign w:val="center"/>
          </w:tcPr>
          <w:p w14:paraId="33C5514C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10.91</w:t>
            </w:r>
          </w:p>
        </w:tc>
      </w:tr>
      <w:tr w:rsidR="00CA0418" w:rsidRPr="00254A5F" w14:paraId="0F1CD53A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F02CBC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1F0F7E0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11.61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461FC1A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E116656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C8FB282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11.61</w:t>
            </w:r>
          </w:p>
        </w:tc>
        <w:tc>
          <w:tcPr>
            <w:tcW w:w="1584" w:type="dxa"/>
            <w:vAlign w:val="center"/>
          </w:tcPr>
          <w:p w14:paraId="4FBFE0B8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8210A">
              <w:rPr>
                <w:rFonts w:ascii="Times New Roman" w:hAnsi="Times New Roman" w:cs="Times New Roman"/>
              </w:rPr>
              <w:t>9.46</w:t>
            </w:r>
          </w:p>
        </w:tc>
      </w:tr>
      <w:tr w:rsidR="00CA0418" w:rsidRPr="00254A5F" w14:paraId="4964724B" w14:textId="77777777" w:rsidTr="00D236A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2CD880" w14:textId="77777777" w:rsidR="00CA0418" w:rsidRPr="0082666B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666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Avg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7A9CD0" w14:textId="77777777" w:rsidR="00CA0418" w:rsidRPr="0082666B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10.39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DEAA23" w14:textId="77777777" w:rsidR="00CA0418" w:rsidRPr="0082666B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11.14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31BAA2" w14:textId="77777777" w:rsidR="00CA0418" w:rsidRPr="0082666B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11.16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D1C25A" w14:textId="77777777" w:rsidR="00CA0418" w:rsidRPr="0082666B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10.45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2619DDF3" w14:textId="77777777" w:rsidR="00CA0418" w:rsidRPr="0082666B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9.77</w:t>
            </w:r>
          </w:p>
        </w:tc>
      </w:tr>
      <w:tr w:rsidR="00CA0418" w:rsidRPr="00254A5F" w14:paraId="3A169A4A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2D8177DF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AE06A92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E654498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E056817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0771158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1584" w:type="dxa"/>
            <w:vAlign w:val="center"/>
          </w:tcPr>
          <w:p w14:paraId="22E158C1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7.13</w:t>
            </w:r>
          </w:p>
        </w:tc>
      </w:tr>
      <w:tr w:rsidR="00CA0418" w:rsidRPr="00254A5F" w14:paraId="1F4C46C5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1029C8E0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Max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E0BF17F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B3C70DA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8C21B42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99C986E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584" w:type="dxa"/>
            <w:vAlign w:val="center"/>
          </w:tcPr>
          <w:p w14:paraId="17908BB4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14.39</w:t>
            </w:r>
          </w:p>
        </w:tc>
      </w:tr>
      <w:tr w:rsidR="00CA0418" w:rsidRPr="00254A5F" w14:paraId="2CB4C803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4C43A6E4" w14:textId="2CF00436" w:rsidR="00CA0418" w:rsidRPr="00254A5F" w:rsidRDefault="00E6734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A6662ED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9.70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4EDFFBB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10.61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9787669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10.89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D636CF0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10.31</w:t>
            </w:r>
          </w:p>
        </w:tc>
        <w:tc>
          <w:tcPr>
            <w:tcW w:w="1584" w:type="dxa"/>
            <w:vAlign w:val="center"/>
          </w:tcPr>
          <w:p w14:paraId="6A572860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9.45</w:t>
            </w:r>
          </w:p>
        </w:tc>
      </w:tr>
      <w:tr w:rsidR="00CA0418" w:rsidRPr="00254A5F" w14:paraId="5EAA8208" w14:textId="77777777" w:rsidTr="00D236AA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2E69EC77" w14:textId="77777777" w:rsidR="00CA0418" w:rsidRPr="00254A5F" w:rsidRDefault="00CA0418" w:rsidP="00D2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Stdev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0A14EBF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1F8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756D419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9138D57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E21F64F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584" w:type="dxa"/>
            <w:vAlign w:val="center"/>
          </w:tcPr>
          <w:p w14:paraId="17F2F4EA" w14:textId="77777777" w:rsidR="00CA0418" w:rsidRPr="00A8210A" w:rsidRDefault="00CA0418" w:rsidP="00D2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10A">
              <w:rPr>
                <w:rFonts w:ascii="Times New Roman" w:hAnsi="Times New Roman" w:cs="Times New Roman"/>
              </w:rPr>
              <w:t>1.85</w:t>
            </w:r>
          </w:p>
        </w:tc>
      </w:tr>
    </w:tbl>
    <w:p w14:paraId="74BD80B8" w14:textId="77777777" w:rsidR="002B1BCE" w:rsidRDefault="002B1BCE">
      <w:pPr>
        <w:rPr>
          <w:rFonts w:ascii="Times New Roman" w:hAnsi="Times New Roman" w:cs="Times New Roman"/>
        </w:rPr>
      </w:pPr>
    </w:p>
    <w:p w14:paraId="0C2184FA" w14:textId="77777777" w:rsidR="002B1BCE" w:rsidRDefault="002B1BCE">
      <w:pPr>
        <w:rPr>
          <w:rFonts w:ascii="Times New Roman" w:hAnsi="Times New Roman" w:cs="Times New Roman"/>
        </w:rPr>
      </w:pPr>
    </w:p>
    <w:p w14:paraId="325198C1" w14:textId="77777777" w:rsidR="002B1BCE" w:rsidRDefault="002B1BCE">
      <w:pPr>
        <w:rPr>
          <w:rFonts w:ascii="Times New Roman" w:hAnsi="Times New Roman" w:cs="Times New Roman"/>
        </w:rPr>
      </w:pPr>
    </w:p>
    <w:p w14:paraId="74838B4D" w14:textId="77777777" w:rsidR="002B1BCE" w:rsidRDefault="002B1BCE">
      <w:pPr>
        <w:rPr>
          <w:rFonts w:ascii="Times New Roman" w:hAnsi="Times New Roman" w:cs="Times New Roman"/>
        </w:rPr>
      </w:pPr>
    </w:p>
    <w:p w14:paraId="3A6C3B38" w14:textId="77777777" w:rsidR="002B1BCE" w:rsidRDefault="002B1BCE">
      <w:pPr>
        <w:rPr>
          <w:rFonts w:ascii="Times New Roman" w:hAnsi="Times New Roman" w:cs="Times New Roman"/>
        </w:rPr>
      </w:pPr>
    </w:p>
    <w:p w14:paraId="39932DC2" w14:textId="77777777" w:rsidR="0082666B" w:rsidRDefault="0082666B">
      <w:pPr>
        <w:rPr>
          <w:rFonts w:ascii="Times New Roman" w:hAnsi="Times New Roman" w:cs="Times New Roman"/>
        </w:rPr>
      </w:pPr>
    </w:p>
    <w:p w14:paraId="2228C5D7" w14:textId="77777777" w:rsidR="0082666B" w:rsidRDefault="0082666B">
      <w:pPr>
        <w:rPr>
          <w:rFonts w:ascii="Times New Roman" w:hAnsi="Times New Roman" w:cs="Times New Roman"/>
        </w:rPr>
      </w:pPr>
    </w:p>
    <w:p w14:paraId="103C7E97" w14:textId="77777777" w:rsidR="0082666B" w:rsidRDefault="0082666B">
      <w:pPr>
        <w:rPr>
          <w:rFonts w:ascii="Times New Roman" w:hAnsi="Times New Roman" w:cs="Times New Roman"/>
        </w:rPr>
      </w:pPr>
    </w:p>
    <w:p w14:paraId="228122CF" w14:textId="77777777" w:rsidR="0082666B" w:rsidRDefault="0082666B">
      <w:pPr>
        <w:rPr>
          <w:rFonts w:ascii="Times New Roman" w:hAnsi="Times New Roman" w:cs="Times New Roman"/>
        </w:rPr>
      </w:pPr>
    </w:p>
    <w:p w14:paraId="447435E6" w14:textId="77777777" w:rsidR="0082666B" w:rsidRDefault="0082666B">
      <w:pPr>
        <w:rPr>
          <w:rFonts w:ascii="Times New Roman" w:hAnsi="Times New Roman" w:cs="Times New Roman"/>
        </w:rPr>
      </w:pPr>
    </w:p>
    <w:p w14:paraId="13EDDE2E" w14:textId="77777777" w:rsidR="0082666B" w:rsidRDefault="0082666B">
      <w:pPr>
        <w:rPr>
          <w:rFonts w:ascii="Times New Roman" w:hAnsi="Times New Roman" w:cs="Times New Roman"/>
        </w:rPr>
      </w:pPr>
    </w:p>
    <w:p w14:paraId="04A3AB1C" w14:textId="5E3C00F7" w:rsidR="007B11F8" w:rsidRDefault="007B11F8" w:rsidP="007B11F8">
      <w:p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Table </w:t>
      </w:r>
      <w:r w:rsidR="00CA0418">
        <w:rPr>
          <w:rFonts w:ascii="Times New Roman" w:eastAsiaTheme="minorEastAsia" w:hAnsi="Times New Roman" w:cs="Times New Roman"/>
        </w:rPr>
        <w:t>5</w:t>
      </w:r>
      <w:r>
        <w:rPr>
          <w:rFonts w:ascii="Times New Roman" w:eastAsiaTheme="minorEastAsia" w:hAnsi="Times New Roman" w:cs="Times New Roman"/>
        </w:rPr>
        <w:t>. January Post-Harvest Marketing Results ($/bu) for Greenville, MS.</w:t>
      </w:r>
    </w:p>
    <w:tbl>
      <w:tblPr>
        <w:tblW w:w="950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7B11F8" w:rsidRPr="00254A5F" w14:paraId="13817FE3" w14:textId="77777777" w:rsidTr="000A6A7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6CA" w14:textId="77777777" w:rsidR="007B11F8" w:rsidRPr="00254A5F" w:rsidRDefault="007B11F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Crop Year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DE6" w14:textId="77777777" w:rsidR="007B11F8" w:rsidRPr="00254A5F" w:rsidRDefault="007B11F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B70" w14:textId="77777777" w:rsidR="007B11F8" w:rsidRPr="00254A5F" w:rsidRDefault="007B11F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Cash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0D55" w14:textId="77777777" w:rsidR="007B11F8" w:rsidRPr="00254A5F" w:rsidRDefault="007B11F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Carry or Store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0F6" w14:textId="77777777" w:rsidR="007B11F8" w:rsidRPr="00254A5F" w:rsidRDefault="007B11F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Carry or 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FD0FF" w14:textId="77777777" w:rsidR="007B11F8" w:rsidRPr="00254A5F" w:rsidRDefault="007B11F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Next Harvest</w:t>
            </w:r>
          </w:p>
        </w:tc>
      </w:tr>
      <w:tr w:rsidR="004C1F38" w:rsidRPr="00254A5F" w14:paraId="2F7527DD" w14:textId="77777777" w:rsidTr="000A6A7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D23F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B03A" w14:textId="2B178C1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9.54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65C7" w14:textId="2FCD227D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10.36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2CA" w14:textId="79BE0B1F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10.36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6DA6" w14:textId="29806DCA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9.54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58FE50F8" w14:textId="06407FE3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8.49</w:t>
            </w:r>
          </w:p>
        </w:tc>
      </w:tr>
      <w:tr w:rsidR="004C1F38" w:rsidRPr="00254A5F" w14:paraId="1C7B3E8F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C872719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7F3AD72" w14:textId="0449988F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A51AD34" w14:textId="1521C880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A6E85F9" w14:textId="72F61AFF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D167261" w14:textId="6F130A7A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584" w:type="dxa"/>
            <w:vAlign w:val="center"/>
          </w:tcPr>
          <w:p w14:paraId="212ED3AC" w14:textId="32E233E7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10.15</w:t>
            </w:r>
          </w:p>
        </w:tc>
      </w:tr>
      <w:tr w:rsidR="004C1F38" w:rsidRPr="00254A5F" w14:paraId="61659C36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F1BBBF5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6066ED6" w14:textId="235DD14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FD6D07F" w14:textId="51ABA938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12.38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F098049" w14:textId="0E9710B4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12.38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A8B5CCB" w14:textId="46D60A78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584" w:type="dxa"/>
            <w:vAlign w:val="center"/>
          </w:tcPr>
          <w:p w14:paraId="0F739D48" w14:textId="06E5EF11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10.40</w:t>
            </w:r>
          </w:p>
        </w:tc>
      </w:tr>
      <w:tr w:rsidR="004C1F38" w:rsidRPr="00254A5F" w14:paraId="6072C08C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226A148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F05FC94" w14:textId="655FC3F6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3B7A729" w14:textId="20F75F2A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13.53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794B13A" w14:textId="29841F6D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13.53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E5FD60A" w14:textId="092F5F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1584" w:type="dxa"/>
            <w:vAlign w:val="center"/>
          </w:tcPr>
          <w:p w14:paraId="2DA2FA8D" w14:textId="306CDDAF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14.62</w:t>
            </w:r>
          </w:p>
        </w:tc>
      </w:tr>
      <w:tr w:rsidR="004C1F38" w:rsidRPr="00254A5F" w14:paraId="5169218F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D51A615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05D4AB2" w14:textId="2A3B01F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6076B0E" w14:textId="0E39CB20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14.27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5A2AA23" w14:textId="57E39651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14.27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C65E771" w14:textId="1E88BEF1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584" w:type="dxa"/>
            <w:vAlign w:val="center"/>
          </w:tcPr>
          <w:p w14:paraId="5C6CB503" w14:textId="0D75582A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11.96</w:t>
            </w:r>
          </w:p>
        </w:tc>
      </w:tr>
      <w:tr w:rsidR="004C1F38" w:rsidRPr="00254A5F" w14:paraId="59E5BDC8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9395340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73B9218" w14:textId="564A90CF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12.98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3608661" w14:textId="6AFCF301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13.88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90FDAAE" w14:textId="6E9DB049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13.88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0451BD4" w14:textId="1096C072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12.98</w:t>
            </w:r>
          </w:p>
        </w:tc>
        <w:tc>
          <w:tcPr>
            <w:tcW w:w="1584" w:type="dxa"/>
            <w:vAlign w:val="center"/>
          </w:tcPr>
          <w:p w14:paraId="56496CF4" w14:textId="1FC0463F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8.32</w:t>
            </w:r>
          </w:p>
        </w:tc>
      </w:tr>
      <w:tr w:rsidR="004C1F38" w:rsidRPr="00254A5F" w14:paraId="153EB15D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DAE8622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B5CB673" w14:textId="3D829B4F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ED0030F" w14:textId="712C9740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9.54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D1259E0" w14:textId="3AB9B1BB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9.54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40EB0EF" w14:textId="4BF2A0F9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584" w:type="dxa"/>
            <w:vAlign w:val="center"/>
          </w:tcPr>
          <w:p w14:paraId="12A66A0A" w14:textId="56CC8F56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8.53</w:t>
            </w:r>
          </w:p>
        </w:tc>
      </w:tr>
      <w:tr w:rsidR="004C1F38" w:rsidRPr="00254A5F" w14:paraId="598186F4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1270B50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1E9BD53" w14:textId="79D54712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F10FB03" w14:textId="10D0FB60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9.94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97A5E42" w14:textId="3F5F33EA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9.94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67EDE59" w14:textId="2F1C2A7D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584" w:type="dxa"/>
            <w:vAlign w:val="center"/>
          </w:tcPr>
          <w:p w14:paraId="6C24C409" w14:textId="23DD5956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9.08</w:t>
            </w:r>
          </w:p>
        </w:tc>
      </w:tr>
      <w:tr w:rsidR="004C1F38" w:rsidRPr="00254A5F" w14:paraId="47655B06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92317E1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257F964" w14:textId="5879B29A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9.64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4074552" w14:textId="429611E4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5FB4C61" w14:textId="34D799F4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4AE0D2A" w14:textId="1F70015D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9.64</w:t>
            </w:r>
          </w:p>
        </w:tc>
        <w:tc>
          <w:tcPr>
            <w:tcW w:w="1584" w:type="dxa"/>
            <w:vAlign w:val="center"/>
          </w:tcPr>
          <w:p w14:paraId="443BDBA0" w14:textId="3C70F569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8.66</w:t>
            </w:r>
          </w:p>
        </w:tc>
      </w:tr>
      <w:tr w:rsidR="004C1F38" w:rsidRPr="00254A5F" w14:paraId="74CDEAE4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661BD1D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EA0C366" w14:textId="6E2B3FD9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874ECEF" w14:textId="061FA1F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9.48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8B24E3C" w14:textId="24992B95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9.48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B704396" w14:textId="14D4615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584" w:type="dxa"/>
            <w:vAlign w:val="center"/>
          </w:tcPr>
          <w:p w14:paraId="4CDDD1FE" w14:textId="57D98C7E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7.41</w:t>
            </w:r>
          </w:p>
        </w:tc>
      </w:tr>
      <w:tr w:rsidR="004C1F38" w:rsidRPr="00254A5F" w14:paraId="0EF20931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B92311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B830EEE" w14:textId="28576F44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DE08C6F" w14:textId="4A78CD70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7.74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A788592" w14:textId="78957F85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CA906A1" w14:textId="24168984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1584" w:type="dxa"/>
            <w:vAlign w:val="center"/>
          </w:tcPr>
          <w:p w14:paraId="2B705177" w14:textId="37E85911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8.43</w:t>
            </w:r>
          </w:p>
        </w:tc>
      </w:tr>
      <w:tr w:rsidR="004C1F38" w:rsidRPr="00254A5F" w14:paraId="5C1B1FED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65750CC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EC3A490" w14:textId="65C9AF5E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28CE4EF" w14:textId="7C9FF87A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2375646" w14:textId="14F1311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FF5B723" w14:textId="6687CD63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1584" w:type="dxa"/>
            <w:vAlign w:val="center"/>
          </w:tcPr>
          <w:p w14:paraId="207FA64A" w14:textId="0E1D6371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9.76</w:t>
            </w:r>
          </w:p>
        </w:tc>
      </w:tr>
      <w:tr w:rsidR="004C1F38" w:rsidRPr="00254A5F" w14:paraId="4BDCCA30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7A4A609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2826011" w14:textId="5A3EA4D3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EAC39DF" w14:textId="47A007D3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14.96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0352E14" w14:textId="2FA878C9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14.96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33577BB" w14:textId="2BE8B715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584" w:type="dxa"/>
            <w:vAlign w:val="center"/>
          </w:tcPr>
          <w:p w14:paraId="353EF8D5" w14:textId="7D827413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11.47</w:t>
            </w:r>
          </w:p>
        </w:tc>
      </w:tr>
      <w:tr w:rsidR="004C1F38" w:rsidRPr="00254A5F" w14:paraId="7CE926AF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04576DD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EDFDEA" w14:textId="0D2B8EFD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C32B6C6" w14:textId="1EA44169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15.43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09AAFAE" w14:textId="00E6AA6B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15.43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95299AD" w14:textId="0E4C76CD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84" w:type="dxa"/>
            <w:vAlign w:val="center"/>
          </w:tcPr>
          <w:p w14:paraId="50DE582A" w14:textId="327E3685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12.12</w:t>
            </w:r>
          </w:p>
        </w:tc>
      </w:tr>
      <w:tr w:rsidR="004C1F38" w:rsidRPr="00254A5F" w14:paraId="2F2D436E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77E0934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933CCA8" w14:textId="70FA8CF4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12.82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33F2EC9" w14:textId="266829B3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13.57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9F2A220" w14:textId="00849AE4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13.57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425595" w14:textId="22933114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12.82</w:t>
            </w:r>
          </w:p>
        </w:tc>
        <w:tc>
          <w:tcPr>
            <w:tcW w:w="1584" w:type="dxa"/>
            <w:vAlign w:val="center"/>
          </w:tcPr>
          <w:p w14:paraId="67D9F232" w14:textId="6FC48829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11.34</w:t>
            </w:r>
          </w:p>
        </w:tc>
      </w:tr>
      <w:tr w:rsidR="004C1F38" w:rsidRPr="00254A5F" w14:paraId="6BAEBC06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6808F93" w14:textId="77777777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D10F895" w14:textId="7749A751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F1D4179" w14:textId="25C7D986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11.53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0659487" w14:textId="711D09F1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11.53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3FFC327" w14:textId="38CC8562" w:rsidR="004C1F38" w:rsidRPr="00254A5F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1584" w:type="dxa"/>
            <w:vAlign w:val="center"/>
          </w:tcPr>
          <w:p w14:paraId="45EE8D47" w14:textId="15F85AC5" w:rsidR="004C1F38" w:rsidRPr="00AF5027" w:rsidRDefault="004C1F38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5027">
              <w:rPr>
                <w:rFonts w:ascii="Times New Roman" w:hAnsi="Times New Roman" w:cs="Times New Roman"/>
              </w:rPr>
              <w:t>9.64</w:t>
            </w:r>
          </w:p>
        </w:tc>
      </w:tr>
      <w:tr w:rsidR="00114CFE" w:rsidRPr="00254A5F" w14:paraId="3D10A695" w14:textId="77777777" w:rsidTr="0082666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AB3C70" w14:textId="37FC182B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666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Avg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3A62D6" w14:textId="5D37F9B8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10.67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EE96E4" w14:textId="4773E85A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11.43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1F78EE" w14:textId="44A59CBC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11.41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6EFC9C" w14:textId="207AC28C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10.64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5CDD9E59" w14:textId="20863E11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10.02</w:t>
            </w:r>
          </w:p>
        </w:tc>
      </w:tr>
      <w:tr w:rsidR="00114CFE" w:rsidRPr="00254A5F" w14:paraId="530D012D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42D36B56" w14:textId="5907D769" w:rsidR="00114CFE" w:rsidRPr="00254A5F" w:rsidRDefault="00114CFE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3C9877A" w14:textId="1CDFAAB1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55F26DE" w14:textId="4BA41015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7.74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E62DA6E" w14:textId="7009CFEA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1628840" w14:textId="437A3F7D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1584" w:type="dxa"/>
            <w:vAlign w:val="center"/>
          </w:tcPr>
          <w:p w14:paraId="7C11D45D" w14:textId="43E28570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7.41</w:t>
            </w:r>
          </w:p>
        </w:tc>
      </w:tr>
      <w:tr w:rsidR="00114CFE" w:rsidRPr="00254A5F" w14:paraId="42A9C6A7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34F2EBE6" w14:textId="6425EA29" w:rsidR="00114CFE" w:rsidRPr="00254A5F" w:rsidRDefault="00114CFE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Max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6509425" w14:textId="1D9503E2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C50351F" w14:textId="78C2B889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15.43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C12AC64" w14:textId="612E4BE4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15.43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36C7922" w14:textId="482247DD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584" w:type="dxa"/>
            <w:vAlign w:val="center"/>
          </w:tcPr>
          <w:p w14:paraId="136FCA1F" w14:textId="662BC18C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14.62</w:t>
            </w:r>
          </w:p>
        </w:tc>
      </w:tr>
      <w:tr w:rsidR="00114CFE" w:rsidRPr="00254A5F" w14:paraId="780588E2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0636C1C6" w14:textId="016073CA" w:rsidR="00114CFE" w:rsidRPr="00254A5F" w:rsidRDefault="00E67348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DB478E1" w14:textId="0658B14C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F8E5989" w14:textId="139676F8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10.94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30D91BE" w14:textId="0E5ED114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10.94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A9D0FFA" w14:textId="66879C98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584" w:type="dxa"/>
            <w:vAlign w:val="center"/>
          </w:tcPr>
          <w:p w14:paraId="167A9728" w14:textId="7B8F5320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9.70</w:t>
            </w:r>
          </w:p>
        </w:tc>
      </w:tr>
      <w:tr w:rsidR="00114CFE" w:rsidRPr="00254A5F" w14:paraId="63F078B4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07613E84" w14:textId="4474DFA5" w:rsidR="00114CFE" w:rsidRPr="00254A5F" w:rsidRDefault="00114CFE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Stdev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8A7FD89" w14:textId="52B4A1DE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FB6315C" w14:textId="76B2B52F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B905FEE" w14:textId="40DDCFB9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CBCE834" w14:textId="1876CB98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584" w:type="dxa"/>
            <w:vAlign w:val="center"/>
          </w:tcPr>
          <w:p w14:paraId="5624FC50" w14:textId="206D4277" w:rsidR="00114CFE" w:rsidRPr="00AF5027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D00">
              <w:rPr>
                <w:rFonts w:ascii="Times New Roman" w:hAnsi="Times New Roman" w:cs="Times New Roman"/>
              </w:rPr>
              <w:t>1.82</w:t>
            </w:r>
          </w:p>
        </w:tc>
      </w:tr>
    </w:tbl>
    <w:p w14:paraId="29702D37" w14:textId="77777777" w:rsidR="007B11F8" w:rsidRDefault="007B11F8" w:rsidP="007B11F8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</w:p>
    <w:p w14:paraId="3C1A9D02" w14:textId="77777777" w:rsidR="00AF5027" w:rsidRDefault="00AF5027">
      <w:pPr>
        <w:rPr>
          <w:rFonts w:ascii="Times New Roman" w:hAnsi="Times New Roman" w:cs="Times New Roman"/>
        </w:rPr>
      </w:pPr>
    </w:p>
    <w:p w14:paraId="5A0B79FD" w14:textId="77777777" w:rsidR="00AF5027" w:rsidRDefault="00AF5027">
      <w:pPr>
        <w:rPr>
          <w:rFonts w:ascii="Times New Roman" w:hAnsi="Times New Roman" w:cs="Times New Roman"/>
        </w:rPr>
      </w:pPr>
    </w:p>
    <w:p w14:paraId="22B16654" w14:textId="77777777" w:rsidR="00AF5027" w:rsidRDefault="00AF5027">
      <w:pPr>
        <w:rPr>
          <w:rFonts w:ascii="Times New Roman" w:hAnsi="Times New Roman" w:cs="Times New Roman"/>
        </w:rPr>
      </w:pPr>
    </w:p>
    <w:p w14:paraId="50224A9C" w14:textId="77777777" w:rsidR="00124A47" w:rsidRDefault="00124A47">
      <w:pPr>
        <w:rPr>
          <w:rFonts w:ascii="Times New Roman" w:hAnsi="Times New Roman" w:cs="Times New Roman"/>
        </w:rPr>
      </w:pPr>
    </w:p>
    <w:p w14:paraId="405F9D8D" w14:textId="77777777" w:rsidR="00114CFE" w:rsidRDefault="00114CFE">
      <w:pPr>
        <w:rPr>
          <w:rFonts w:ascii="Times New Roman" w:hAnsi="Times New Roman" w:cs="Times New Roman"/>
        </w:rPr>
      </w:pPr>
    </w:p>
    <w:p w14:paraId="465CCEB8" w14:textId="77777777" w:rsidR="00114CFE" w:rsidRDefault="00114CFE">
      <w:pPr>
        <w:rPr>
          <w:rFonts w:ascii="Times New Roman" w:hAnsi="Times New Roman" w:cs="Times New Roman"/>
        </w:rPr>
      </w:pPr>
    </w:p>
    <w:p w14:paraId="6BF1FAD7" w14:textId="77777777" w:rsidR="00114CFE" w:rsidRDefault="00114CFE">
      <w:pPr>
        <w:rPr>
          <w:rFonts w:ascii="Times New Roman" w:hAnsi="Times New Roman" w:cs="Times New Roman"/>
        </w:rPr>
      </w:pPr>
    </w:p>
    <w:p w14:paraId="1CFDCF1B" w14:textId="77777777" w:rsidR="00114CFE" w:rsidRDefault="00114CFE">
      <w:pPr>
        <w:rPr>
          <w:rFonts w:ascii="Times New Roman" w:hAnsi="Times New Roman" w:cs="Times New Roman"/>
        </w:rPr>
      </w:pPr>
    </w:p>
    <w:p w14:paraId="255F6662" w14:textId="77777777" w:rsidR="00114CFE" w:rsidRDefault="00114CFE">
      <w:pPr>
        <w:rPr>
          <w:rFonts w:ascii="Times New Roman" w:hAnsi="Times New Roman" w:cs="Times New Roman"/>
        </w:rPr>
      </w:pPr>
    </w:p>
    <w:p w14:paraId="5F26F15D" w14:textId="77777777" w:rsidR="00114CFE" w:rsidRDefault="00114CFE">
      <w:pPr>
        <w:rPr>
          <w:rFonts w:ascii="Times New Roman" w:hAnsi="Times New Roman" w:cs="Times New Roman"/>
        </w:rPr>
      </w:pPr>
    </w:p>
    <w:p w14:paraId="01F209F4" w14:textId="77777777" w:rsidR="0082666B" w:rsidRDefault="0082666B">
      <w:pPr>
        <w:rPr>
          <w:rFonts w:ascii="Times New Roman" w:hAnsi="Times New Roman" w:cs="Times New Roman"/>
        </w:rPr>
      </w:pPr>
    </w:p>
    <w:p w14:paraId="08524BE2" w14:textId="1BEB65B8" w:rsidR="00124A47" w:rsidRDefault="00124A47" w:rsidP="00124A47">
      <w:pPr>
        <w:spacing w:after="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Table </w:t>
      </w:r>
      <w:r w:rsidR="00CA0418">
        <w:rPr>
          <w:rFonts w:ascii="Times New Roman" w:eastAsiaTheme="minorEastAsia" w:hAnsi="Times New Roman" w:cs="Times New Roman"/>
        </w:rPr>
        <w:t>6</w:t>
      </w:r>
      <w:r>
        <w:rPr>
          <w:rFonts w:ascii="Times New Roman" w:eastAsiaTheme="minorEastAsia" w:hAnsi="Times New Roman" w:cs="Times New Roman"/>
        </w:rPr>
        <w:t xml:space="preserve">. </w:t>
      </w:r>
      <w:r w:rsidR="00196E49">
        <w:rPr>
          <w:rFonts w:ascii="Times New Roman" w:eastAsiaTheme="minorEastAsia" w:hAnsi="Times New Roman" w:cs="Times New Roman"/>
        </w:rPr>
        <w:t>May</w:t>
      </w:r>
      <w:r>
        <w:rPr>
          <w:rFonts w:ascii="Times New Roman" w:eastAsiaTheme="minorEastAsia" w:hAnsi="Times New Roman" w:cs="Times New Roman"/>
        </w:rPr>
        <w:t xml:space="preserve"> Post-Harvest Marketing Results ($/bu) for Greenville, MS.</w:t>
      </w:r>
    </w:p>
    <w:tbl>
      <w:tblPr>
        <w:tblW w:w="950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124A47" w:rsidRPr="00254A5F" w14:paraId="64154A39" w14:textId="77777777" w:rsidTr="000A6A7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E1CF" w14:textId="77777777" w:rsidR="00124A47" w:rsidRPr="00254A5F" w:rsidRDefault="00124A47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Crop Year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B1B2" w14:textId="77777777" w:rsidR="00124A47" w:rsidRPr="00254A5F" w:rsidRDefault="00124A47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7ED" w14:textId="77777777" w:rsidR="00124A47" w:rsidRPr="00254A5F" w:rsidRDefault="00124A47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Cash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D20" w14:textId="77777777" w:rsidR="00124A47" w:rsidRPr="00254A5F" w:rsidRDefault="00124A47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Carry or Store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264" w14:textId="77777777" w:rsidR="00124A47" w:rsidRPr="00254A5F" w:rsidRDefault="00124A47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Carry or Harvest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2DA80" w14:textId="77777777" w:rsidR="00124A47" w:rsidRPr="00254A5F" w:rsidRDefault="00124A47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Next Harvest</w:t>
            </w:r>
          </w:p>
        </w:tc>
      </w:tr>
      <w:tr w:rsidR="000A6A7B" w:rsidRPr="00254A5F" w14:paraId="5B41A344" w14:textId="77777777" w:rsidTr="000A6A7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51F0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26E0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9.54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2C2D" w14:textId="42711995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9.68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9B27" w14:textId="0189EE8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10.38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1B15" w14:textId="7544D5CC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10.38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0A14CE79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8.49</w:t>
            </w:r>
          </w:p>
        </w:tc>
      </w:tr>
      <w:tr w:rsidR="000A6A7B" w:rsidRPr="00254A5F" w14:paraId="7B77A8E3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0214119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6CB03F2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56326AC" w14:textId="3FB2F39F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9.42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7CF4877" w14:textId="55579D46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9.42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61BE12A" w14:textId="3F00B3CA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584" w:type="dxa"/>
            <w:vAlign w:val="center"/>
          </w:tcPr>
          <w:p w14:paraId="2699F5CE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10.15</w:t>
            </w:r>
          </w:p>
        </w:tc>
      </w:tr>
      <w:tr w:rsidR="000A6A7B" w:rsidRPr="00254A5F" w14:paraId="5BA402A2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897107D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660675A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B69964E" w14:textId="66ABC5CB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CB7E10F" w14:textId="52C917BA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541FB87" w14:textId="23C5CB9C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584" w:type="dxa"/>
            <w:vAlign w:val="center"/>
          </w:tcPr>
          <w:p w14:paraId="2F5B4648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10.40</w:t>
            </w:r>
          </w:p>
        </w:tc>
      </w:tr>
      <w:tr w:rsidR="000A6A7B" w:rsidRPr="00254A5F" w14:paraId="1772B2DF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E05EFD2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4CE2582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3819403" w14:textId="6919B362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11.75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D18223D" w14:textId="171681B9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11.75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1E64E69" w14:textId="78CEAD53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1584" w:type="dxa"/>
            <w:vAlign w:val="center"/>
          </w:tcPr>
          <w:p w14:paraId="6B5ADA39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14.62</w:t>
            </w:r>
          </w:p>
        </w:tc>
      </w:tr>
      <w:tr w:rsidR="000A6A7B" w:rsidRPr="00254A5F" w14:paraId="2505CFFB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644D9B9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A615756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36062DF" w14:textId="3CDFFAD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3BDDCAD" w14:textId="58AEAAA5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5C7C69F" w14:textId="7876523C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584" w:type="dxa"/>
            <w:vAlign w:val="center"/>
          </w:tcPr>
          <w:p w14:paraId="5C1B7935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11.96</w:t>
            </w:r>
          </w:p>
        </w:tc>
      </w:tr>
      <w:tr w:rsidR="000A6A7B" w:rsidRPr="00254A5F" w14:paraId="3D4F4250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B088EF9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261C88A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12.98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C572721" w14:textId="5408EFEB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6850463" w14:textId="02933CC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8063D47" w14:textId="43BCE136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12.98</w:t>
            </w:r>
          </w:p>
        </w:tc>
        <w:tc>
          <w:tcPr>
            <w:tcW w:w="1584" w:type="dxa"/>
            <w:vAlign w:val="center"/>
          </w:tcPr>
          <w:p w14:paraId="5269BB9C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8.32</w:t>
            </w:r>
          </w:p>
        </w:tc>
      </w:tr>
      <w:tr w:rsidR="000A6A7B" w:rsidRPr="00254A5F" w14:paraId="758F6B7A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4AFCD75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769C58B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FCC1645" w14:textId="0BE70754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10.34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37F5EC9" w14:textId="5706F79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10.34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8641976" w14:textId="7D589B11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584" w:type="dxa"/>
            <w:vAlign w:val="center"/>
          </w:tcPr>
          <w:p w14:paraId="1331B8E9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8.53</w:t>
            </w:r>
          </w:p>
        </w:tc>
      </w:tr>
      <w:tr w:rsidR="000A6A7B" w:rsidRPr="00254A5F" w14:paraId="27F683DF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A1B274D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EBF71BE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17B456A" w14:textId="3556AEEB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8.92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122C09B" w14:textId="4F64D67D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8.92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D43F6FE" w14:textId="16C67C36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584" w:type="dxa"/>
            <w:vAlign w:val="center"/>
          </w:tcPr>
          <w:p w14:paraId="03672B58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9.08</w:t>
            </w:r>
          </w:p>
        </w:tc>
      </w:tr>
      <w:tr w:rsidR="000A6A7B" w:rsidRPr="00254A5F" w14:paraId="43E03480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72DBEA1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0F6FE4D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9.64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86CBAE" w14:textId="78401896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9.96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440A7DB" w14:textId="5B7A3324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9.96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F7447A3" w14:textId="40BF95F6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9.64</w:t>
            </w:r>
          </w:p>
        </w:tc>
        <w:tc>
          <w:tcPr>
            <w:tcW w:w="1584" w:type="dxa"/>
            <w:vAlign w:val="center"/>
          </w:tcPr>
          <w:p w14:paraId="0AED1235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8.66</w:t>
            </w:r>
          </w:p>
        </w:tc>
      </w:tr>
      <w:tr w:rsidR="000A6A7B" w:rsidRPr="00254A5F" w14:paraId="7DF99AB1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B4AE3A7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30C2647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4255CDE" w14:textId="4FD7F9A2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9.43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86879C6" w14:textId="644CFEA9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9.62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B14ABEC" w14:textId="40B7A723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9.62</w:t>
            </w:r>
          </w:p>
        </w:tc>
        <w:tc>
          <w:tcPr>
            <w:tcW w:w="1584" w:type="dxa"/>
            <w:vAlign w:val="center"/>
          </w:tcPr>
          <w:p w14:paraId="4314547A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7.41</w:t>
            </w:r>
          </w:p>
        </w:tc>
      </w:tr>
      <w:tr w:rsidR="000A6A7B" w:rsidRPr="00254A5F" w14:paraId="55268703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BB0785A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C05FEDE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3D0F7353" w14:textId="1DDF05FD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8.71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4C8078E" w14:textId="55CC5B4F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8.24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8D6823D" w14:textId="3F2C5F2F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8.24</w:t>
            </w:r>
          </w:p>
        </w:tc>
        <w:tc>
          <w:tcPr>
            <w:tcW w:w="1584" w:type="dxa"/>
            <w:vAlign w:val="center"/>
          </w:tcPr>
          <w:p w14:paraId="384F4C15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8.43</w:t>
            </w:r>
          </w:p>
        </w:tc>
      </w:tr>
      <w:tr w:rsidR="000A6A7B" w:rsidRPr="00254A5F" w14:paraId="2BA9DE86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2165F92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2019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F5D49F0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8EA7D96" w14:textId="221E8EFA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9.34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6E0D802" w14:textId="39BCF125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ACB8982" w14:textId="4B756393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584" w:type="dxa"/>
            <w:vAlign w:val="center"/>
          </w:tcPr>
          <w:p w14:paraId="6D6736B0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9.76</w:t>
            </w:r>
          </w:p>
        </w:tc>
      </w:tr>
      <w:tr w:rsidR="000A6A7B" w:rsidRPr="00254A5F" w14:paraId="798FB4D5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ECA7367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7B9FD27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53186A1" w14:textId="68A9285E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13.47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8069092" w14:textId="5F1DC4EB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13.47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EE5392F" w14:textId="06628968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584" w:type="dxa"/>
            <w:vAlign w:val="center"/>
          </w:tcPr>
          <w:p w14:paraId="2ACF9B90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11.47</w:t>
            </w:r>
          </w:p>
        </w:tc>
      </w:tr>
      <w:tr w:rsidR="000A6A7B" w:rsidRPr="00254A5F" w14:paraId="43CCA374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9194133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2021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8E6F1B4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ED37EBA" w14:textId="22E9324D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13.44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22B1749F" w14:textId="725A7AA1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13.44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CD3C371" w14:textId="136ED9D9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84" w:type="dxa"/>
            <w:vAlign w:val="center"/>
          </w:tcPr>
          <w:p w14:paraId="32FD8B10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12.12</w:t>
            </w:r>
          </w:p>
        </w:tc>
      </w:tr>
      <w:tr w:rsidR="000A6A7B" w:rsidRPr="00254A5F" w14:paraId="3BD72705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CA76D4A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E1862AF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12.82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688EB341" w14:textId="2FB485A4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14.87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57FC318" w14:textId="7921DF73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14.87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16C3A92" w14:textId="6E39AB60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12.82</w:t>
            </w:r>
          </w:p>
        </w:tc>
        <w:tc>
          <w:tcPr>
            <w:tcW w:w="1584" w:type="dxa"/>
            <w:vAlign w:val="center"/>
          </w:tcPr>
          <w:p w14:paraId="400FDE7D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11.34</w:t>
            </w:r>
          </w:p>
        </w:tc>
      </w:tr>
      <w:tr w:rsidR="000A6A7B" w:rsidRPr="00254A5F" w14:paraId="66CAE0DD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4800BAD7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4A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2023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5F0CA3A5" w14:textId="77777777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02EECD1B" w14:textId="37DC2F5B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1E3F4852" w14:textId="5D31E314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12.57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14:paraId="7CC63E84" w14:textId="2BB62059" w:rsidR="000A6A7B" w:rsidRPr="00254A5F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12.57</w:t>
            </w:r>
          </w:p>
        </w:tc>
        <w:tc>
          <w:tcPr>
            <w:tcW w:w="1584" w:type="dxa"/>
            <w:vAlign w:val="center"/>
          </w:tcPr>
          <w:p w14:paraId="5C593ECB" w14:textId="77777777" w:rsidR="000A6A7B" w:rsidRPr="000A6A7B" w:rsidRDefault="000A6A7B" w:rsidP="000A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A7B">
              <w:rPr>
                <w:rFonts w:ascii="Times New Roman" w:hAnsi="Times New Roman" w:cs="Times New Roman"/>
              </w:rPr>
              <w:t>9.64</w:t>
            </w:r>
          </w:p>
        </w:tc>
      </w:tr>
      <w:tr w:rsidR="00114CFE" w:rsidRPr="00254A5F" w14:paraId="366C8D41" w14:textId="77777777" w:rsidTr="0082666B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DA157E" w14:textId="4BDEFC1A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2666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Avg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772B77" w14:textId="447A3D93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10.67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CB198D" w14:textId="2098F8DC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11.40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9FEBDD" w14:textId="278FDC33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11.43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2849F9" w14:textId="54FF66EB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10.81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49AABEF5" w14:textId="651C2FC4" w:rsidR="00114CFE" w:rsidRPr="0082666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66B">
              <w:rPr>
                <w:rFonts w:ascii="Times New Roman" w:hAnsi="Times New Roman" w:cs="Times New Roman"/>
                <w:b/>
                <w:bCs/>
              </w:rPr>
              <w:t>10.02</w:t>
            </w:r>
          </w:p>
        </w:tc>
      </w:tr>
      <w:tr w:rsidR="00114CFE" w:rsidRPr="00254A5F" w14:paraId="56327635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7D73BEB1" w14:textId="05616FB6" w:rsidR="00114CFE" w:rsidRPr="00254A5F" w:rsidRDefault="00114CFE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C678276" w14:textId="0607561D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A04D3F1" w14:textId="627F4477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8.71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6438DAE" w14:textId="47727055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8.24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89F30D8" w14:textId="0C4C4453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8.24</w:t>
            </w:r>
          </w:p>
        </w:tc>
        <w:tc>
          <w:tcPr>
            <w:tcW w:w="1584" w:type="dxa"/>
            <w:vAlign w:val="center"/>
          </w:tcPr>
          <w:p w14:paraId="2E217FD9" w14:textId="64E5D6A7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7.41</w:t>
            </w:r>
          </w:p>
        </w:tc>
      </w:tr>
      <w:tr w:rsidR="00114CFE" w:rsidRPr="00254A5F" w14:paraId="5E163E71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68EDA8F1" w14:textId="6068AED7" w:rsidR="00114CFE" w:rsidRPr="00254A5F" w:rsidRDefault="00114CFE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Max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0770FA7" w14:textId="2B0856B5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2A034EF" w14:textId="79F3271B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14.87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71BA8AB" w14:textId="00303059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14.87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B226018" w14:textId="53BB6B6C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584" w:type="dxa"/>
            <w:vAlign w:val="center"/>
          </w:tcPr>
          <w:p w14:paraId="00CD4680" w14:textId="5814E4B4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14.62</w:t>
            </w:r>
          </w:p>
        </w:tc>
      </w:tr>
      <w:tr w:rsidR="00114CFE" w:rsidRPr="00254A5F" w14:paraId="27891FDF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166659C2" w14:textId="6F9D3F37" w:rsidR="00114CFE" w:rsidRPr="00254A5F" w:rsidRDefault="00E67348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A0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F8E2B36" w14:textId="128914E2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C1C9840" w14:textId="2FF2EDDB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0099CCD" w14:textId="159BB68A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BD13E3C" w14:textId="11B686A8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10.39</w:t>
            </w:r>
          </w:p>
        </w:tc>
        <w:tc>
          <w:tcPr>
            <w:tcW w:w="1584" w:type="dxa"/>
            <w:vAlign w:val="center"/>
          </w:tcPr>
          <w:p w14:paraId="254D74DE" w14:textId="22588930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9.70</w:t>
            </w:r>
          </w:p>
        </w:tc>
      </w:tr>
      <w:tr w:rsidR="00114CFE" w:rsidRPr="00254A5F" w14:paraId="40ED2230" w14:textId="77777777" w:rsidTr="000A6A7B">
        <w:trPr>
          <w:trHeight w:val="317"/>
          <w:jc w:val="center"/>
        </w:trPr>
        <w:tc>
          <w:tcPr>
            <w:tcW w:w="1584" w:type="dxa"/>
            <w:shd w:val="clear" w:color="auto" w:fill="auto"/>
            <w:noWrap/>
            <w:vAlign w:val="center"/>
          </w:tcPr>
          <w:p w14:paraId="529882D4" w14:textId="3993CC15" w:rsidR="00114CFE" w:rsidRPr="00254A5F" w:rsidRDefault="00114CFE" w:rsidP="0011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3F8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Stdev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FDFF088" w14:textId="76090CB4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D1B725E" w14:textId="543955BE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70FF3545" w14:textId="369B39B5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9AB8FF5" w14:textId="7C01ACDE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584" w:type="dxa"/>
            <w:vAlign w:val="center"/>
          </w:tcPr>
          <w:p w14:paraId="15BE4F19" w14:textId="6751B1DD" w:rsidR="00114CFE" w:rsidRPr="000A6A7B" w:rsidRDefault="00114CFE" w:rsidP="0011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1.82</w:t>
            </w:r>
          </w:p>
        </w:tc>
      </w:tr>
    </w:tbl>
    <w:p w14:paraId="10216670" w14:textId="77777777" w:rsidR="00124A47" w:rsidRDefault="00124A47" w:rsidP="00124A47">
      <w:pPr>
        <w:spacing w:after="0" w:line="276" w:lineRule="auto"/>
        <w:ind w:firstLine="720"/>
        <w:rPr>
          <w:rFonts w:ascii="Times New Roman" w:eastAsiaTheme="minorEastAsia" w:hAnsi="Times New Roman" w:cs="Times New Roman"/>
        </w:rPr>
      </w:pPr>
    </w:p>
    <w:p w14:paraId="2CE25F3E" w14:textId="77777777" w:rsidR="006838F5" w:rsidRDefault="006838F5">
      <w:pPr>
        <w:rPr>
          <w:rFonts w:ascii="Times New Roman" w:hAnsi="Times New Roman" w:cs="Times New Roman"/>
        </w:rPr>
      </w:pPr>
    </w:p>
    <w:p w14:paraId="76415BCA" w14:textId="77777777" w:rsidR="006838F5" w:rsidRDefault="006838F5">
      <w:pPr>
        <w:rPr>
          <w:rFonts w:ascii="Times New Roman" w:hAnsi="Times New Roman" w:cs="Times New Roman"/>
        </w:rPr>
      </w:pPr>
    </w:p>
    <w:p w14:paraId="60997E47" w14:textId="77777777" w:rsidR="006838F5" w:rsidRDefault="006838F5">
      <w:pPr>
        <w:rPr>
          <w:rFonts w:ascii="Times New Roman" w:hAnsi="Times New Roman" w:cs="Times New Roman"/>
        </w:rPr>
      </w:pPr>
    </w:p>
    <w:p w14:paraId="1E23F43D" w14:textId="77777777" w:rsidR="006838F5" w:rsidRDefault="006838F5">
      <w:pPr>
        <w:rPr>
          <w:rFonts w:ascii="Times New Roman" w:hAnsi="Times New Roman" w:cs="Times New Roman"/>
        </w:rPr>
      </w:pPr>
    </w:p>
    <w:p w14:paraId="733A186A" w14:textId="77777777" w:rsidR="006838F5" w:rsidRDefault="006838F5">
      <w:pPr>
        <w:rPr>
          <w:rFonts w:ascii="Times New Roman" w:hAnsi="Times New Roman" w:cs="Times New Roman"/>
        </w:rPr>
      </w:pPr>
    </w:p>
    <w:p w14:paraId="036CFF86" w14:textId="77777777" w:rsidR="006838F5" w:rsidRDefault="006838F5">
      <w:pPr>
        <w:rPr>
          <w:rFonts w:ascii="Times New Roman" w:hAnsi="Times New Roman" w:cs="Times New Roman"/>
        </w:rPr>
      </w:pPr>
    </w:p>
    <w:p w14:paraId="3B12EB44" w14:textId="77777777" w:rsidR="006838F5" w:rsidRDefault="006838F5">
      <w:pPr>
        <w:rPr>
          <w:rFonts w:ascii="Times New Roman" w:hAnsi="Times New Roman" w:cs="Times New Roman"/>
        </w:rPr>
      </w:pPr>
    </w:p>
    <w:p w14:paraId="131D9C14" w14:textId="77777777" w:rsidR="0082666B" w:rsidRDefault="0082666B">
      <w:pPr>
        <w:rPr>
          <w:rFonts w:ascii="Times New Roman" w:hAnsi="Times New Roman" w:cs="Times New Roman"/>
        </w:rPr>
      </w:pPr>
    </w:p>
    <w:p w14:paraId="170ED843" w14:textId="77777777" w:rsidR="0082666B" w:rsidRDefault="0082666B">
      <w:pPr>
        <w:rPr>
          <w:rFonts w:ascii="Times New Roman" w:hAnsi="Times New Roman" w:cs="Times New Roman"/>
        </w:rPr>
      </w:pPr>
    </w:p>
    <w:p w14:paraId="3E6F6207" w14:textId="77777777" w:rsidR="0082666B" w:rsidRDefault="0082666B">
      <w:pPr>
        <w:rPr>
          <w:rFonts w:ascii="Times New Roman" w:hAnsi="Times New Roman" w:cs="Times New Roman"/>
        </w:rPr>
      </w:pPr>
    </w:p>
    <w:p w14:paraId="0E0D9762" w14:textId="77777777" w:rsidR="006838F5" w:rsidRDefault="006838F5">
      <w:pPr>
        <w:rPr>
          <w:rFonts w:ascii="Times New Roman" w:hAnsi="Times New Roman" w:cs="Times New Roman"/>
        </w:rPr>
      </w:pPr>
    </w:p>
    <w:p w14:paraId="4208D257" w14:textId="19D590F4" w:rsidR="006838F5" w:rsidRDefault="006838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Works Cited</w:t>
      </w:r>
    </w:p>
    <w:p w14:paraId="45C46A12" w14:textId="23D54BEF" w:rsidR="00E62F97" w:rsidRDefault="00E62F97" w:rsidP="00C413B7">
      <w:pPr>
        <w:ind w:left="720" w:hanging="720"/>
        <w:rPr>
          <w:rFonts w:ascii="Times New Roman" w:hAnsi="Times New Roman" w:cs="Times New Roman"/>
        </w:rPr>
      </w:pPr>
      <w:r w:rsidRPr="00E62F97">
        <w:rPr>
          <w:rFonts w:ascii="Times New Roman" w:hAnsi="Times New Roman" w:cs="Times New Roman"/>
        </w:rPr>
        <w:t xml:space="preserve">"Soybeans Planning Budgets." </w:t>
      </w:r>
      <w:r>
        <w:rPr>
          <w:rFonts w:ascii="Times New Roman" w:hAnsi="Times New Roman" w:cs="Times New Roman"/>
        </w:rPr>
        <w:t>Various Years</w:t>
      </w:r>
      <w:r w:rsidRPr="00E62F97">
        <w:rPr>
          <w:rFonts w:ascii="Times New Roman" w:hAnsi="Times New Roman" w:cs="Times New Roman"/>
        </w:rPr>
        <w:t xml:space="preserve">, Department of Agricultural Economics, Mississippi State University, November 2022. </w:t>
      </w:r>
    </w:p>
    <w:p w14:paraId="61D923C7" w14:textId="16B8ACA8" w:rsidR="006838F5" w:rsidRPr="006838F5" w:rsidRDefault="006838F5" w:rsidP="00C413B7">
      <w:pPr>
        <w:ind w:left="720" w:hanging="720"/>
        <w:rPr>
          <w:rFonts w:ascii="Times New Roman" w:hAnsi="Times New Roman" w:cs="Times New Roman"/>
        </w:rPr>
      </w:pPr>
      <w:r w:rsidRPr="006838F5">
        <w:rPr>
          <w:rFonts w:ascii="Times New Roman" w:hAnsi="Times New Roman" w:cs="Times New Roman"/>
        </w:rPr>
        <w:t xml:space="preserve">Heatherly, Larry G. “Mississippi Soybean Production in 2023.” </w:t>
      </w:r>
      <w:r w:rsidRPr="006838F5">
        <w:rPr>
          <w:rFonts w:ascii="Times New Roman" w:hAnsi="Times New Roman" w:cs="Times New Roman"/>
          <w:i/>
          <w:iCs/>
        </w:rPr>
        <w:t>Mississippi Soybean Promotion Board</w:t>
      </w:r>
      <w:r w:rsidRPr="006838F5">
        <w:rPr>
          <w:rFonts w:ascii="Times New Roman" w:hAnsi="Times New Roman" w:cs="Times New Roman"/>
        </w:rPr>
        <w:t xml:space="preserve">, 2 Jan. 2024, mssoy.org/articles/mississippi-soybean-production-in-2023. </w:t>
      </w:r>
    </w:p>
    <w:p w14:paraId="623E665A" w14:textId="77777777" w:rsidR="006838F5" w:rsidRPr="006838F5" w:rsidRDefault="006838F5" w:rsidP="00C413B7">
      <w:pPr>
        <w:ind w:left="720" w:hanging="720"/>
        <w:rPr>
          <w:rFonts w:ascii="Times New Roman" w:hAnsi="Times New Roman" w:cs="Times New Roman"/>
        </w:rPr>
      </w:pPr>
      <w:r w:rsidRPr="006838F5">
        <w:rPr>
          <w:rFonts w:ascii="Times New Roman" w:hAnsi="Times New Roman" w:cs="Times New Roman"/>
        </w:rPr>
        <w:t xml:space="preserve">MacDonald, James. “Corn and Soybean Farmers Combine Futures, Options, and Marketing Contracts to Manage Financial Risks.” </w:t>
      </w:r>
      <w:r w:rsidRPr="006838F5">
        <w:rPr>
          <w:rFonts w:ascii="Times New Roman" w:hAnsi="Times New Roman" w:cs="Times New Roman"/>
          <w:i/>
          <w:iCs/>
        </w:rPr>
        <w:t>Corn and Soybean Farmers Combine Futures, Options, and Marketing Contracts To Manage Financial Risks | Economic Research Service</w:t>
      </w:r>
      <w:r w:rsidRPr="006838F5">
        <w:rPr>
          <w:rFonts w:ascii="Times New Roman" w:hAnsi="Times New Roman" w:cs="Times New Roman"/>
        </w:rPr>
        <w:t xml:space="preserve">, 2 Nov. 2020, www.ers.usda.gov/amber-waves/2020/november/corn-and-soybean-farmers-combine-futures-options-and-marketing-contracts-to-manage-financial-risks?utm_source=chatgpt.com. </w:t>
      </w:r>
    </w:p>
    <w:p w14:paraId="0EE97B77" w14:textId="77777777" w:rsidR="006838F5" w:rsidRPr="006838F5" w:rsidRDefault="006838F5" w:rsidP="00C413B7">
      <w:pPr>
        <w:ind w:left="720" w:hanging="720"/>
        <w:rPr>
          <w:rFonts w:ascii="Times New Roman" w:hAnsi="Times New Roman" w:cs="Times New Roman"/>
        </w:rPr>
      </w:pPr>
      <w:r w:rsidRPr="006838F5">
        <w:rPr>
          <w:rFonts w:ascii="Times New Roman" w:hAnsi="Times New Roman" w:cs="Times New Roman"/>
        </w:rPr>
        <w:t xml:space="preserve">MacDonald, James. “Larger Corn and Soybean Farms Used More Futures, Options, and Marketing Contracts in 2016.” </w:t>
      </w:r>
      <w:r w:rsidRPr="006838F5">
        <w:rPr>
          <w:rFonts w:ascii="Times New Roman" w:hAnsi="Times New Roman" w:cs="Times New Roman"/>
          <w:i/>
          <w:iCs/>
        </w:rPr>
        <w:t>Larger Corn and Soybean Farms Used More Futures, Options, and Marketing Contracts in 2016 | Economic Research Service</w:t>
      </w:r>
      <w:r w:rsidRPr="006838F5">
        <w:rPr>
          <w:rFonts w:ascii="Times New Roman" w:hAnsi="Times New Roman" w:cs="Times New Roman"/>
        </w:rPr>
        <w:t xml:space="preserve">, USDA ERS, 13 Nov. 2020, www.ers.usda.gov/data-products/charts-of-note/chart-detail?chartId=99765. </w:t>
      </w:r>
    </w:p>
    <w:p w14:paraId="2E3245DE" w14:textId="77777777" w:rsidR="006838F5" w:rsidRPr="006838F5" w:rsidRDefault="006838F5" w:rsidP="00C413B7">
      <w:pPr>
        <w:ind w:left="720" w:hanging="720"/>
        <w:rPr>
          <w:rFonts w:ascii="Times New Roman" w:hAnsi="Times New Roman" w:cs="Times New Roman"/>
        </w:rPr>
      </w:pPr>
      <w:r w:rsidRPr="006838F5">
        <w:rPr>
          <w:rFonts w:ascii="Times New Roman" w:hAnsi="Times New Roman" w:cs="Times New Roman"/>
        </w:rPr>
        <w:t xml:space="preserve">“Mississippi Agriculture Snapshot.” </w:t>
      </w:r>
      <w:r w:rsidRPr="006838F5">
        <w:rPr>
          <w:rFonts w:ascii="Times New Roman" w:hAnsi="Times New Roman" w:cs="Times New Roman"/>
          <w:i/>
          <w:iCs/>
        </w:rPr>
        <w:t>Mississippi Department of Agriculture and Commerce</w:t>
      </w:r>
      <w:r w:rsidRPr="006838F5">
        <w:rPr>
          <w:rFonts w:ascii="Times New Roman" w:hAnsi="Times New Roman" w:cs="Times New Roman"/>
        </w:rPr>
        <w:t xml:space="preserve">, Mississippi State University, Dec. 2024, www.mdac.ms.gov/agency-info/mississippi-agriculture-snapshot/. </w:t>
      </w:r>
    </w:p>
    <w:p w14:paraId="3362CE29" w14:textId="77777777" w:rsidR="006838F5" w:rsidRPr="006838F5" w:rsidRDefault="006838F5">
      <w:pPr>
        <w:rPr>
          <w:rFonts w:ascii="Times New Roman" w:hAnsi="Times New Roman" w:cs="Times New Roman"/>
          <w:b/>
          <w:bCs/>
        </w:rPr>
      </w:pPr>
    </w:p>
    <w:sectPr w:rsidR="006838F5" w:rsidRPr="0068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2357"/>
    <w:multiLevelType w:val="hybridMultilevel"/>
    <w:tmpl w:val="EEE6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4C23"/>
    <w:multiLevelType w:val="hybridMultilevel"/>
    <w:tmpl w:val="51409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C3921"/>
    <w:multiLevelType w:val="hybridMultilevel"/>
    <w:tmpl w:val="78E45190"/>
    <w:lvl w:ilvl="0" w:tplc="D9FC3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27FC1"/>
    <w:multiLevelType w:val="hybridMultilevel"/>
    <w:tmpl w:val="A202A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86479">
    <w:abstractNumId w:val="1"/>
  </w:num>
  <w:num w:numId="2" w16cid:durableId="749038374">
    <w:abstractNumId w:val="3"/>
  </w:num>
  <w:num w:numId="3" w16cid:durableId="1105423643">
    <w:abstractNumId w:val="2"/>
  </w:num>
  <w:num w:numId="4" w16cid:durableId="167379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FB"/>
    <w:rsid w:val="00000F1E"/>
    <w:rsid w:val="0002172E"/>
    <w:rsid w:val="0009185E"/>
    <w:rsid w:val="000948DF"/>
    <w:rsid w:val="00097726"/>
    <w:rsid w:val="000A442C"/>
    <w:rsid w:val="000A6A7B"/>
    <w:rsid w:val="000B0CA9"/>
    <w:rsid w:val="000D0B53"/>
    <w:rsid w:val="000F5330"/>
    <w:rsid w:val="00101EC0"/>
    <w:rsid w:val="00114737"/>
    <w:rsid w:val="00114CFE"/>
    <w:rsid w:val="0012049F"/>
    <w:rsid w:val="00120EF4"/>
    <w:rsid w:val="00121970"/>
    <w:rsid w:val="00124A47"/>
    <w:rsid w:val="00131C97"/>
    <w:rsid w:val="00136C66"/>
    <w:rsid w:val="00137BAF"/>
    <w:rsid w:val="0016128F"/>
    <w:rsid w:val="00167315"/>
    <w:rsid w:val="0016787A"/>
    <w:rsid w:val="00171E8C"/>
    <w:rsid w:val="001762AC"/>
    <w:rsid w:val="00187905"/>
    <w:rsid w:val="00193D38"/>
    <w:rsid w:val="00196E49"/>
    <w:rsid w:val="001A78BD"/>
    <w:rsid w:val="001C12FB"/>
    <w:rsid w:val="001E24F9"/>
    <w:rsid w:val="001E6323"/>
    <w:rsid w:val="002024E5"/>
    <w:rsid w:val="00206F8B"/>
    <w:rsid w:val="00213FF1"/>
    <w:rsid w:val="002151E7"/>
    <w:rsid w:val="00226877"/>
    <w:rsid w:val="00240AAC"/>
    <w:rsid w:val="002524DA"/>
    <w:rsid w:val="00254D2F"/>
    <w:rsid w:val="00262D94"/>
    <w:rsid w:val="00265486"/>
    <w:rsid w:val="00274F7D"/>
    <w:rsid w:val="00284EFD"/>
    <w:rsid w:val="002955FA"/>
    <w:rsid w:val="002B1BCE"/>
    <w:rsid w:val="002B2E39"/>
    <w:rsid w:val="002B655E"/>
    <w:rsid w:val="002C27C0"/>
    <w:rsid w:val="002C3846"/>
    <w:rsid w:val="002F039B"/>
    <w:rsid w:val="002F7F88"/>
    <w:rsid w:val="00301E4E"/>
    <w:rsid w:val="003064EB"/>
    <w:rsid w:val="0031581B"/>
    <w:rsid w:val="00316F6C"/>
    <w:rsid w:val="00330FFB"/>
    <w:rsid w:val="00335116"/>
    <w:rsid w:val="003452CF"/>
    <w:rsid w:val="00345B38"/>
    <w:rsid w:val="00364932"/>
    <w:rsid w:val="00367437"/>
    <w:rsid w:val="00386662"/>
    <w:rsid w:val="003A2C81"/>
    <w:rsid w:val="003C5E1B"/>
    <w:rsid w:val="003C6149"/>
    <w:rsid w:val="003D0092"/>
    <w:rsid w:val="003E213C"/>
    <w:rsid w:val="003E3529"/>
    <w:rsid w:val="00400F6F"/>
    <w:rsid w:val="00413ADD"/>
    <w:rsid w:val="0047374F"/>
    <w:rsid w:val="004A2B19"/>
    <w:rsid w:val="004C1F38"/>
    <w:rsid w:val="004E3B4C"/>
    <w:rsid w:val="004E5EAC"/>
    <w:rsid w:val="005271A5"/>
    <w:rsid w:val="00530CDC"/>
    <w:rsid w:val="00537873"/>
    <w:rsid w:val="005402DA"/>
    <w:rsid w:val="0054497C"/>
    <w:rsid w:val="00547AF8"/>
    <w:rsid w:val="005622BD"/>
    <w:rsid w:val="00562749"/>
    <w:rsid w:val="005651ED"/>
    <w:rsid w:val="005C02CF"/>
    <w:rsid w:val="005C6A46"/>
    <w:rsid w:val="005E60E4"/>
    <w:rsid w:val="005E6695"/>
    <w:rsid w:val="005E7513"/>
    <w:rsid w:val="005F6CB9"/>
    <w:rsid w:val="0062487E"/>
    <w:rsid w:val="00637316"/>
    <w:rsid w:val="00642DF7"/>
    <w:rsid w:val="0066467D"/>
    <w:rsid w:val="00665CE6"/>
    <w:rsid w:val="0066639B"/>
    <w:rsid w:val="00676874"/>
    <w:rsid w:val="006836A6"/>
    <w:rsid w:val="006838F5"/>
    <w:rsid w:val="006B72EC"/>
    <w:rsid w:val="006C236D"/>
    <w:rsid w:val="006C315F"/>
    <w:rsid w:val="006E6445"/>
    <w:rsid w:val="006F5A74"/>
    <w:rsid w:val="006F605F"/>
    <w:rsid w:val="00705B13"/>
    <w:rsid w:val="00707CF1"/>
    <w:rsid w:val="0071122B"/>
    <w:rsid w:val="007249B3"/>
    <w:rsid w:val="00726D00"/>
    <w:rsid w:val="0074131A"/>
    <w:rsid w:val="007441CF"/>
    <w:rsid w:val="0074587D"/>
    <w:rsid w:val="00747A9B"/>
    <w:rsid w:val="0075193C"/>
    <w:rsid w:val="00751C07"/>
    <w:rsid w:val="00761D80"/>
    <w:rsid w:val="00762C24"/>
    <w:rsid w:val="00773FF3"/>
    <w:rsid w:val="007741E1"/>
    <w:rsid w:val="007802D4"/>
    <w:rsid w:val="00787D01"/>
    <w:rsid w:val="007926E9"/>
    <w:rsid w:val="007A36B1"/>
    <w:rsid w:val="007B11F8"/>
    <w:rsid w:val="007D1C24"/>
    <w:rsid w:val="007D4D35"/>
    <w:rsid w:val="007E0ABA"/>
    <w:rsid w:val="007E106F"/>
    <w:rsid w:val="0082666B"/>
    <w:rsid w:val="00826819"/>
    <w:rsid w:val="00831CB2"/>
    <w:rsid w:val="00835F18"/>
    <w:rsid w:val="00843311"/>
    <w:rsid w:val="008548EE"/>
    <w:rsid w:val="00873DED"/>
    <w:rsid w:val="008866DD"/>
    <w:rsid w:val="008905C2"/>
    <w:rsid w:val="00894601"/>
    <w:rsid w:val="008A46F8"/>
    <w:rsid w:val="008B0F2E"/>
    <w:rsid w:val="008B6212"/>
    <w:rsid w:val="008E2918"/>
    <w:rsid w:val="00916970"/>
    <w:rsid w:val="00924E19"/>
    <w:rsid w:val="00942675"/>
    <w:rsid w:val="00957BDA"/>
    <w:rsid w:val="0096340E"/>
    <w:rsid w:val="00972874"/>
    <w:rsid w:val="00972BFA"/>
    <w:rsid w:val="00981D80"/>
    <w:rsid w:val="009851D5"/>
    <w:rsid w:val="009915B7"/>
    <w:rsid w:val="009D20DD"/>
    <w:rsid w:val="00A113AD"/>
    <w:rsid w:val="00A36AE4"/>
    <w:rsid w:val="00A40D30"/>
    <w:rsid w:val="00A57259"/>
    <w:rsid w:val="00A752B8"/>
    <w:rsid w:val="00A77A83"/>
    <w:rsid w:val="00A8145D"/>
    <w:rsid w:val="00A8210A"/>
    <w:rsid w:val="00A839F9"/>
    <w:rsid w:val="00A853E7"/>
    <w:rsid w:val="00A903AA"/>
    <w:rsid w:val="00A95683"/>
    <w:rsid w:val="00A9581E"/>
    <w:rsid w:val="00AA037A"/>
    <w:rsid w:val="00AB6583"/>
    <w:rsid w:val="00AD4E48"/>
    <w:rsid w:val="00AE548C"/>
    <w:rsid w:val="00AF5027"/>
    <w:rsid w:val="00B20B49"/>
    <w:rsid w:val="00B32183"/>
    <w:rsid w:val="00B42211"/>
    <w:rsid w:val="00B43493"/>
    <w:rsid w:val="00B50AA1"/>
    <w:rsid w:val="00B84C1F"/>
    <w:rsid w:val="00BB33C0"/>
    <w:rsid w:val="00BD6158"/>
    <w:rsid w:val="00BF1133"/>
    <w:rsid w:val="00BF2C03"/>
    <w:rsid w:val="00BF5CA4"/>
    <w:rsid w:val="00C11CFC"/>
    <w:rsid w:val="00C136D1"/>
    <w:rsid w:val="00C13BD5"/>
    <w:rsid w:val="00C27BC0"/>
    <w:rsid w:val="00C30D9D"/>
    <w:rsid w:val="00C413B7"/>
    <w:rsid w:val="00C502FF"/>
    <w:rsid w:val="00C60AC3"/>
    <w:rsid w:val="00C63338"/>
    <w:rsid w:val="00C8315D"/>
    <w:rsid w:val="00C85671"/>
    <w:rsid w:val="00C97B61"/>
    <w:rsid w:val="00CA0418"/>
    <w:rsid w:val="00CA5D0F"/>
    <w:rsid w:val="00CB2EA7"/>
    <w:rsid w:val="00CC5093"/>
    <w:rsid w:val="00CE1760"/>
    <w:rsid w:val="00CF2A87"/>
    <w:rsid w:val="00CF2A94"/>
    <w:rsid w:val="00CF703F"/>
    <w:rsid w:val="00CF7D7B"/>
    <w:rsid w:val="00D1402B"/>
    <w:rsid w:val="00D63814"/>
    <w:rsid w:val="00D76090"/>
    <w:rsid w:val="00D93C2F"/>
    <w:rsid w:val="00DA2EDC"/>
    <w:rsid w:val="00DA5A57"/>
    <w:rsid w:val="00DB64FA"/>
    <w:rsid w:val="00DC3EE3"/>
    <w:rsid w:val="00DD0490"/>
    <w:rsid w:val="00DD0B66"/>
    <w:rsid w:val="00DE587B"/>
    <w:rsid w:val="00DF0BF5"/>
    <w:rsid w:val="00DF1F0E"/>
    <w:rsid w:val="00E14DD1"/>
    <w:rsid w:val="00E62F97"/>
    <w:rsid w:val="00E67348"/>
    <w:rsid w:val="00E7395A"/>
    <w:rsid w:val="00E73D92"/>
    <w:rsid w:val="00E74CE6"/>
    <w:rsid w:val="00E87730"/>
    <w:rsid w:val="00EB014D"/>
    <w:rsid w:val="00EB096D"/>
    <w:rsid w:val="00EB1E25"/>
    <w:rsid w:val="00EC0E20"/>
    <w:rsid w:val="00EC7E51"/>
    <w:rsid w:val="00EE0947"/>
    <w:rsid w:val="00EE60AD"/>
    <w:rsid w:val="00EF0E28"/>
    <w:rsid w:val="00EF76D6"/>
    <w:rsid w:val="00F035A5"/>
    <w:rsid w:val="00F10B1E"/>
    <w:rsid w:val="00F219F4"/>
    <w:rsid w:val="00F2450D"/>
    <w:rsid w:val="00F252FE"/>
    <w:rsid w:val="00F26E44"/>
    <w:rsid w:val="00F42418"/>
    <w:rsid w:val="00F471E1"/>
    <w:rsid w:val="00F55D48"/>
    <w:rsid w:val="00F56C8B"/>
    <w:rsid w:val="00F71593"/>
    <w:rsid w:val="00F9391B"/>
    <w:rsid w:val="00F97905"/>
    <w:rsid w:val="00FE4FED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DB746"/>
  <w15:chartTrackingRefBased/>
  <w15:docId w15:val="{16274CA1-3D1F-468A-918B-5A959772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DC"/>
  </w:style>
  <w:style w:type="paragraph" w:styleId="Heading1">
    <w:name w:val="heading 1"/>
    <w:basedOn w:val="Normal"/>
    <w:next w:val="Normal"/>
    <w:link w:val="Heading1Char"/>
    <w:uiPriority w:val="9"/>
    <w:qFormat/>
    <w:rsid w:val="001C1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2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5A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A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0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m87@ms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5DA8FAED3DE4FB56BCDC938B394DC" ma:contentTypeVersion="14" ma:contentTypeDescription="Create a new document." ma:contentTypeScope="" ma:versionID="7a499a8d67cc5831a9caa4ef8c4efb89">
  <xsd:schema xmlns:xsd="http://www.w3.org/2001/XMLSchema" xmlns:xs="http://www.w3.org/2001/XMLSchema" xmlns:p="http://schemas.microsoft.com/office/2006/metadata/properties" xmlns:ns3="0c562e6a-8846-432b-bfd1-c8088908f063" xmlns:ns4="854102d8-4fe7-4b81-8fe9-3692e73dd41f" targetNamespace="http://schemas.microsoft.com/office/2006/metadata/properties" ma:root="true" ma:fieldsID="33f2574eb7a1f30e1d391a7400764c05" ns3:_="" ns4:_="">
    <xsd:import namespace="0c562e6a-8846-432b-bfd1-c8088908f063"/>
    <xsd:import namespace="854102d8-4fe7-4b81-8fe9-3692e73dd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2e6a-8846-432b-bfd1-c8088908f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102d8-4fe7-4b81-8fe9-3692e73dd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562e6a-8846-432b-bfd1-c8088908f063" xsi:nil="true"/>
  </documentManagement>
</p:properties>
</file>

<file path=customXml/itemProps1.xml><?xml version="1.0" encoding="utf-8"?>
<ds:datastoreItem xmlns:ds="http://schemas.openxmlformats.org/officeDocument/2006/customXml" ds:itemID="{C60D3875-3557-44D4-BC54-9FDA70CE3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3C1F8-1175-4668-9B76-91A953150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62e6a-8846-432b-bfd1-c8088908f063"/>
    <ds:schemaRef ds:uri="854102d8-4fe7-4b81-8fe9-3692e73d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7AF27-D4B6-47B9-886A-E3E3695FF76E}">
  <ds:schemaRefs>
    <ds:schemaRef ds:uri="http://schemas.microsoft.com/office/2006/metadata/properties"/>
    <ds:schemaRef ds:uri="http://schemas.microsoft.com/office/infopath/2007/PartnerControls"/>
    <ds:schemaRef ds:uri="0c562e6a-8846-432b-bfd1-c8088908f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2324</Words>
  <Characters>13251</Characters>
  <Application>Microsoft Office Word</Application>
  <DocSecurity>0</DocSecurity>
  <Lines>110</Lines>
  <Paragraphs>31</Paragraphs>
  <ScaleCrop>false</ScaleCrop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Spencer</dc:creator>
  <cp:keywords/>
  <dc:description/>
  <cp:lastModifiedBy>L. Jason Krutz</cp:lastModifiedBy>
  <cp:revision>2</cp:revision>
  <dcterms:created xsi:type="dcterms:W3CDTF">2025-04-02T20:57:00Z</dcterms:created>
  <dcterms:modified xsi:type="dcterms:W3CDTF">2025-04-02T20:57:00Z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0x010100AEC5DA8FAED3DE4FB56BCDC938B394DC</vt:lpwstr>
  </property>
</Properties>
</file>