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8C570" w14:textId="77777777" w:rsidR="003E3658" w:rsidRDefault="003E3658" w:rsidP="003E3658">
      <w:pPr>
        <w:autoSpaceDE w:val="0"/>
        <w:autoSpaceDN w:val="0"/>
        <w:adjustRightInd w:val="0"/>
        <w:jc w:val="center"/>
        <w:rPr>
          <w:b/>
          <w:sz w:val="22"/>
        </w:rPr>
      </w:pPr>
      <w:r>
        <w:rPr>
          <w:b/>
        </w:rPr>
        <w:t>MISSISSIPPI SOYBEAN PROMOTION BOARD</w:t>
      </w:r>
    </w:p>
    <w:p w14:paraId="79EB2968" w14:textId="77777777" w:rsidR="003E3658" w:rsidRDefault="003E3658" w:rsidP="003E3658">
      <w:pPr>
        <w:autoSpaceDE w:val="0"/>
        <w:autoSpaceDN w:val="0"/>
        <w:adjustRightInd w:val="0"/>
        <w:jc w:val="center"/>
        <w:rPr>
          <w:b/>
        </w:rPr>
      </w:pPr>
      <w:r>
        <w:rPr>
          <w:b/>
        </w:rPr>
        <w:t>PROJECT NO. 48-2017 (YEAR 1)</w:t>
      </w:r>
    </w:p>
    <w:p w14:paraId="4DA0852C" w14:textId="77777777" w:rsidR="003E3658" w:rsidRDefault="003E3658" w:rsidP="003E3658">
      <w:pPr>
        <w:autoSpaceDE w:val="0"/>
        <w:autoSpaceDN w:val="0"/>
        <w:adjustRightInd w:val="0"/>
        <w:jc w:val="center"/>
        <w:rPr>
          <w:b/>
        </w:rPr>
      </w:pPr>
      <w:r>
        <w:rPr>
          <w:b/>
        </w:rPr>
        <w:t>FINAL REPORT</w:t>
      </w:r>
    </w:p>
    <w:p w14:paraId="2221D5B5" w14:textId="77777777" w:rsidR="003E3658" w:rsidRDefault="003E3658" w:rsidP="003E3658">
      <w:pPr>
        <w:autoSpaceDE w:val="0"/>
        <w:autoSpaceDN w:val="0"/>
        <w:adjustRightInd w:val="0"/>
        <w:jc w:val="center"/>
        <w:rPr>
          <w:b/>
        </w:rPr>
      </w:pPr>
    </w:p>
    <w:p w14:paraId="071049BD" w14:textId="77777777" w:rsidR="003E3658" w:rsidRDefault="003E3658" w:rsidP="003E3658">
      <w:pPr>
        <w:autoSpaceDE w:val="0"/>
        <w:autoSpaceDN w:val="0"/>
        <w:adjustRightInd w:val="0"/>
        <w:rPr>
          <w:b/>
        </w:rPr>
      </w:pPr>
      <w:r>
        <w:rPr>
          <w:b/>
        </w:rPr>
        <w:t>Title:</w:t>
      </w:r>
      <w:r>
        <w:rPr>
          <w:b/>
        </w:rPr>
        <w:tab/>
        <w:t>Sample Collection and Transportation Method Effects on Accuracy of Nematode Analysis in Mississippi Soybean Fields.</w:t>
      </w:r>
    </w:p>
    <w:p w14:paraId="16E987FE" w14:textId="77777777" w:rsidR="003E3658" w:rsidRDefault="003E3658" w:rsidP="003E3658">
      <w:pPr>
        <w:autoSpaceDE w:val="0"/>
        <w:autoSpaceDN w:val="0"/>
        <w:adjustRightInd w:val="0"/>
        <w:rPr>
          <w:rFonts w:ascii="TimesNewRomanPSMT" w:hAnsi="TimesNewRomanPSMT" w:cs="TimesNewRomanPSMT"/>
          <w:szCs w:val="24"/>
        </w:rPr>
      </w:pPr>
    </w:p>
    <w:p w14:paraId="1812D4D2" w14:textId="77777777" w:rsidR="003E3658" w:rsidRDefault="003E3658" w:rsidP="003E3658">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PI:  Bill Burdine  </w:t>
      </w:r>
      <w:hyperlink r:id="rId7" w:history="1">
        <w:r>
          <w:rPr>
            <w:rStyle w:val="Hyperlink"/>
            <w:rFonts w:ascii="TimesNewRomanPSMT" w:hAnsi="TimesNewRomanPSMT" w:cs="TimesNewRomanPSMT"/>
            <w:szCs w:val="24"/>
          </w:rPr>
          <w:t>bill.burdine@msstate.edu</w:t>
        </w:r>
      </w:hyperlink>
    </w:p>
    <w:p w14:paraId="257B42F3" w14:textId="77777777" w:rsidR="003E3658" w:rsidRDefault="003E3658" w:rsidP="003E3658">
      <w:pPr>
        <w:autoSpaceDE w:val="0"/>
        <w:autoSpaceDN w:val="0"/>
        <w:adjustRightInd w:val="0"/>
        <w:rPr>
          <w:rFonts w:ascii="TimesNewRomanPSMT" w:hAnsi="TimesNewRomanPSMT" w:cs="TimesNewRomanPSMT"/>
          <w:szCs w:val="24"/>
        </w:rPr>
      </w:pPr>
    </w:p>
    <w:p w14:paraId="04C422C5" w14:textId="77777777" w:rsidR="003E3658" w:rsidRDefault="003E3658" w:rsidP="003E3658">
      <w:pPr>
        <w:widowControl w:val="0"/>
        <w:spacing w:line="480" w:lineRule="auto"/>
        <w:jc w:val="center"/>
        <w:rPr>
          <w:rFonts w:ascii="TimesNewRomanPSMT" w:hAnsi="TimesNewRomanPSMT" w:cs="TimesNewRomanPSMT"/>
          <w:b/>
          <w:szCs w:val="24"/>
        </w:rPr>
      </w:pPr>
      <w:r>
        <w:rPr>
          <w:rFonts w:ascii="TimesNewRomanPSMT" w:hAnsi="TimesNewRomanPSMT" w:cs="TimesNewRomanPSMT"/>
          <w:b/>
          <w:szCs w:val="24"/>
        </w:rPr>
        <w:t>BACKGROUND</w:t>
      </w:r>
    </w:p>
    <w:p w14:paraId="7376A5C5" w14:textId="77777777" w:rsidR="003E3658" w:rsidRDefault="003E3658" w:rsidP="003E3658">
      <w:pPr>
        <w:widowControl w:val="0"/>
        <w:rPr>
          <w:rFonts w:cstheme="minorBidi"/>
          <w:sz w:val="22"/>
          <w:szCs w:val="22"/>
        </w:rPr>
      </w:pPr>
      <w:r>
        <w:t>Soybean Cyst (SCN) and other nematode species are perennial pests often overlooked by producers in NE Mississippi.  In 2014, 2015, and 2016, I received numerous calls by soybean producers with yellow, necrotic areas in fields.  Producers were convinced the culprit was pathological or fertility; however, laboratory analysis confirmed nematodes in over 70% of samples I submitted.</w:t>
      </w:r>
    </w:p>
    <w:p w14:paraId="29C27E57" w14:textId="77777777" w:rsidR="003E3658" w:rsidRDefault="003E3658" w:rsidP="003E3658">
      <w:pPr>
        <w:widowControl w:val="0"/>
      </w:pPr>
    </w:p>
    <w:p w14:paraId="2575882E" w14:textId="77777777" w:rsidR="003E3658" w:rsidRDefault="003E3658" w:rsidP="003E3658">
      <w:pPr>
        <w:widowControl w:val="0"/>
      </w:pPr>
      <w:r>
        <w:t>Data from 2009 suggest SCN nematodes reduce soybean yield by 3.6% and preventing this loss would increase Miss. soybean production by 3.81 million bushels.  Many producers do not perform nematode analysis and some fields that are analyzed show below-threshold levels due to factors such as poor sampling technique, poor handling technique, and/or improper timing of sampling.  Proper sampling and handling technique is considered critical for accurate treatment recommendations. This case study was designed to demonstrate a lack of training among producers in how they should sample and to demonstrate how excessive heat during transportation reduces the accuracy of nematode analyses.</w:t>
      </w:r>
    </w:p>
    <w:p w14:paraId="28F60582" w14:textId="77777777" w:rsidR="003E3658" w:rsidRDefault="003E3658" w:rsidP="003E3658">
      <w:pPr>
        <w:widowControl w:val="0"/>
      </w:pPr>
    </w:p>
    <w:p w14:paraId="013E19EE" w14:textId="77777777" w:rsidR="003E3658" w:rsidRDefault="003E3658" w:rsidP="003E3658">
      <w:pPr>
        <w:widowControl w:val="0"/>
        <w:jc w:val="center"/>
        <w:rPr>
          <w:b/>
        </w:rPr>
      </w:pPr>
      <w:r>
        <w:rPr>
          <w:b/>
        </w:rPr>
        <w:t>OBJECTIVES</w:t>
      </w:r>
    </w:p>
    <w:p w14:paraId="467580CC" w14:textId="77777777" w:rsidR="003E3658" w:rsidRDefault="003E3658" w:rsidP="003E3658">
      <w:pPr>
        <w:widowControl w:val="0"/>
      </w:pPr>
    </w:p>
    <w:p w14:paraId="24DAFAF0" w14:textId="77777777" w:rsidR="003E3658" w:rsidRDefault="003E3658" w:rsidP="003E3658">
      <w:pPr>
        <w:widowControl w:val="0"/>
        <w:rPr>
          <w:rFonts w:eastAsia="MS Mincho"/>
          <w:lang w:eastAsia="ja-JP"/>
        </w:rPr>
      </w:pPr>
      <w:r>
        <w:rPr>
          <w:b/>
        </w:rPr>
        <w:t>Objective 1:</w:t>
      </w:r>
      <w:r>
        <w:t xml:space="preserve"> </w:t>
      </w:r>
      <w:r>
        <w:rPr>
          <w:rFonts w:eastAsia="MS Mincho"/>
          <w:lang w:eastAsia="ja-JP"/>
        </w:rPr>
        <w:t>Compare and contrast nematode sampling techniques of “untrained” producer vs. “trained” Extension Specialist.</w:t>
      </w:r>
    </w:p>
    <w:p w14:paraId="7FD98C8B" w14:textId="77777777" w:rsidR="003E3658" w:rsidRDefault="003E3658" w:rsidP="003E3658">
      <w:pPr>
        <w:autoSpaceDE w:val="0"/>
        <w:autoSpaceDN w:val="0"/>
        <w:adjustRightInd w:val="0"/>
        <w:rPr>
          <w:rFonts w:eastAsiaTheme="minorHAnsi" w:cstheme="minorBidi"/>
        </w:rPr>
      </w:pPr>
    </w:p>
    <w:p w14:paraId="57F1BC03" w14:textId="77777777" w:rsidR="003E3658" w:rsidRDefault="003E3658" w:rsidP="003E3658">
      <w:pPr>
        <w:autoSpaceDE w:val="0"/>
        <w:autoSpaceDN w:val="0"/>
        <w:adjustRightInd w:val="0"/>
      </w:pPr>
      <w:r>
        <w:rPr>
          <w:b/>
        </w:rPr>
        <w:t>Objective 2:</w:t>
      </w:r>
      <w:r>
        <w:t xml:space="preserve"> Compare sample </w:t>
      </w:r>
      <w:proofErr w:type="spellStart"/>
      <w:r>
        <w:t>analysess</w:t>
      </w:r>
      <w:proofErr w:type="spellEnd"/>
      <w:r>
        <w:t xml:space="preserve"> via USPS Ground transportation vs. direct delivery by Extension Specialist. </w:t>
      </w:r>
    </w:p>
    <w:p w14:paraId="6FC6A151" w14:textId="77777777" w:rsidR="003E3658" w:rsidRDefault="003E3658" w:rsidP="003E3658">
      <w:pPr>
        <w:widowControl w:val="0"/>
      </w:pPr>
    </w:p>
    <w:p w14:paraId="3227A5A6" w14:textId="77777777" w:rsidR="003E3658" w:rsidRDefault="003E3658" w:rsidP="003E3658">
      <w:pPr>
        <w:widowControl w:val="0"/>
        <w:jc w:val="center"/>
        <w:rPr>
          <w:b/>
          <w:i/>
        </w:rPr>
      </w:pPr>
      <w:r>
        <w:rPr>
          <w:b/>
        </w:rPr>
        <w:t>PROGRESS/ACTIVITY</w:t>
      </w:r>
    </w:p>
    <w:p w14:paraId="360AA9A5" w14:textId="77777777" w:rsidR="003E3658" w:rsidRDefault="003E3658" w:rsidP="003E3658">
      <w:pPr>
        <w:autoSpaceDE w:val="0"/>
        <w:autoSpaceDN w:val="0"/>
        <w:adjustRightInd w:val="0"/>
      </w:pPr>
    </w:p>
    <w:p w14:paraId="521AFEB3" w14:textId="77777777" w:rsidR="003E3658" w:rsidRDefault="003E3658" w:rsidP="003E3658">
      <w:pPr>
        <w:autoSpaceDE w:val="0"/>
        <w:autoSpaceDN w:val="0"/>
        <w:adjustRightInd w:val="0"/>
        <w:rPr>
          <w:rFonts w:eastAsia="MS Mincho"/>
          <w:b/>
          <w:lang w:eastAsia="ja-JP"/>
        </w:rPr>
      </w:pPr>
      <w:r>
        <w:rPr>
          <w:b/>
        </w:rPr>
        <w:t xml:space="preserve">Objective 1: </w:t>
      </w:r>
      <w:r>
        <w:rPr>
          <w:rFonts w:eastAsia="MS Mincho"/>
          <w:b/>
          <w:i/>
          <w:lang w:eastAsia="ja-JP"/>
        </w:rPr>
        <w:t>Compare and contrast nematode sampling techniques of producer versus Extension Specialist</w:t>
      </w:r>
      <w:r>
        <w:rPr>
          <w:rFonts w:eastAsia="MS Mincho"/>
          <w:b/>
          <w:lang w:eastAsia="ja-JP"/>
        </w:rPr>
        <w:t>.</w:t>
      </w:r>
    </w:p>
    <w:p w14:paraId="70A9F81C" w14:textId="77777777" w:rsidR="003E3658" w:rsidRDefault="003E3658" w:rsidP="003E3658">
      <w:pPr>
        <w:autoSpaceDE w:val="0"/>
        <w:autoSpaceDN w:val="0"/>
        <w:adjustRightInd w:val="0"/>
        <w:rPr>
          <w:rFonts w:eastAsiaTheme="minorHAnsi" w:cstheme="minorBidi"/>
        </w:rPr>
      </w:pPr>
      <w:r>
        <w:t xml:space="preserve">  </w:t>
      </w:r>
    </w:p>
    <w:p w14:paraId="43A03744" w14:textId="77777777" w:rsidR="003E3658" w:rsidRDefault="003E3658" w:rsidP="003E3658">
      <w:pPr>
        <w:autoSpaceDE w:val="0"/>
        <w:autoSpaceDN w:val="0"/>
        <w:adjustRightInd w:val="0"/>
      </w:pPr>
      <w:r>
        <w:t xml:space="preserve">All 5 test locations were sampled in late August/early September and samples were analyzed for nematode populations at the Nematology Laboratory at MSU. All samples were stored in an ice chest and delivered immediately to the nematode laboratory. </w:t>
      </w:r>
    </w:p>
    <w:p w14:paraId="74751786" w14:textId="77777777" w:rsidR="003E3658" w:rsidRDefault="003E3658" w:rsidP="003E3658">
      <w:pPr>
        <w:autoSpaceDE w:val="0"/>
        <w:autoSpaceDN w:val="0"/>
        <w:adjustRightInd w:val="0"/>
      </w:pPr>
    </w:p>
    <w:p w14:paraId="4B145821" w14:textId="77777777" w:rsidR="003E3658" w:rsidRDefault="003E3658" w:rsidP="003E3658">
      <w:pPr>
        <w:autoSpaceDE w:val="0"/>
        <w:autoSpaceDN w:val="0"/>
        <w:adjustRightInd w:val="0"/>
      </w:pPr>
      <w:r>
        <w:t xml:space="preserve">Reniform, lesion, spiral, lance, stunt, and sheath nematode populations were below threshold in all samples and will not be discussed.  Root-knot, SCN juvenile, and SCN Cyst stage had above-threshold counts and are the focus of results.  </w:t>
      </w:r>
    </w:p>
    <w:p w14:paraId="6685CBEB" w14:textId="77777777" w:rsidR="003E3658" w:rsidRDefault="003E3658" w:rsidP="003E3658">
      <w:pPr>
        <w:autoSpaceDE w:val="0"/>
        <w:autoSpaceDN w:val="0"/>
        <w:adjustRightInd w:val="0"/>
      </w:pPr>
    </w:p>
    <w:p w14:paraId="35ECDFB9" w14:textId="77777777" w:rsidR="003E3658" w:rsidRDefault="003E3658" w:rsidP="003E3658">
      <w:pPr>
        <w:autoSpaceDE w:val="0"/>
        <w:autoSpaceDN w:val="0"/>
        <w:adjustRightInd w:val="0"/>
      </w:pPr>
      <w:r>
        <w:rPr>
          <w:b/>
        </w:rPr>
        <w:lastRenderedPageBreak/>
        <w:t>Root-knot</w:t>
      </w:r>
      <w:r>
        <w:t>:  The Extension Specialist (ES)-collected samples saw significantly higher populations in 3 of 5 fields. The Grower (G)-collected samples showed higher populations in the remaining 2 fields but counts were low in these fields.</w:t>
      </w:r>
    </w:p>
    <w:p w14:paraId="5B4F7E84" w14:textId="6AD3EC9C" w:rsidR="003E3658" w:rsidRDefault="003E3658" w:rsidP="003E3658">
      <w:pPr>
        <w:autoSpaceDE w:val="0"/>
        <w:autoSpaceDN w:val="0"/>
        <w:adjustRightInd w:val="0"/>
      </w:pPr>
      <w:r>
        <w:rPr>
          <w:noProof/>
        </w:rPr>
        <w:drawing>
          <wp:inline distT="0" distB="0" distL="0" distR="0" wp14:anchorId="67298753" wp14:editId="3C718A50">
            <wp:extent cx="3533775" cy="2486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2486025"/>
                    </a:xfrm>
                    <a:prstGeom prst="rect">
                      <a:avLst/>
                    </a:prstGeom>
                    <a:noFill/>
                    <a:ln>
                      <a:noFill/>
                    </a:ln>
                  </pic:spPr>
                </pic:pic>
              </a:graphicData>
            </a:graphic>
          </wp:inline>
        </w:drawing>
      </w:r>
    </w:p>
    <w:p w14:paraId="13B584A4" w14:textId="77777777" w:rsidR="003E3658" w:rsidRDefault="003E3658" w:rsidP="003E3658">
      <w:pPr>
        <w:autoSpaceDE w:val="0"/>
        <w:autoSpaceDN w:val="0"/>
        <w:adjustRightInd w:val="0"/>
        <w:rPr>
          <w:rFonts w:ascii="FuturaStd-CondensedBoldObl" w:hAnsi="FuturaStd-CondensedBoldObl" w:cs="FuturaStd-CondensedBoldObl"/>
          <w:b/>
          <w:bCs/>
          <w:i/>
          <w:iCs/>
          <w:sz w:val="18"/>
          <w:szCs w:val="18"/>
        </w:rPr>
      </w:pPr>
      <w:r>
        <w:rPr>
          <w:rFonts w:ascii="FuturaStd-CondensedBoldObl" w:hAnsi="FuturaStd-CondensedBoldObl" w:cs="FuturaStd-CondensedBoldObl"/>
          <w:b/>
          <w:bCs/>
          <w:i/>
          <w:iCs/>
          <w:sz w:val="18"/>
          <w:szCs w:val="18"/>
        </w:rPr>
        <w:t>Figure 3–8 Legend:</w:t>
      </w:r>
    </w:p>
    <w:p w14:paraId="35AE56A1" w14:textId="77777777" w:rsidR="003E3658" w:rsidRDefault="003E3658" w:rsidP="003E3658">
      <w:pPr>
        <w:autoSpaceDE w:val="0"/>
        <w:autoSpaceDN w:val="0"/>
        <w:adjustRightInd w:val="0"/>
        <w:rPr>
          <w:rFonts w:ascii="FuturaStd-CondensedBoldObl" w:hAnsi="FuturaStd-CondensedBoldObl" w:cs="FuturaStd-CondensedBoldObl"/>
          <w:b/>
          <w:bCs/>
          <w:i/>
          <w:iCs/>
          <w:sz w:val="18"/>
          <w:szCs w:val="18"/>
        </w:rPr>
      </w:pPr>
      <w:r>
        <w:rPr>
          <w:rFonts w:ascii="FuturaStd-CondensedBoldObl" w:hAnsi="FuturaStd-CondensedBoldObl" w:cs="FuturaStd-CondensedBoldObl"/>
          <w:b/>
          <w:bCs/>
          <w:i/>
          <w:iCs/>
          <w:sz w:val="18"/>
          <w:szCs w:val="18"/>
        </w:rPr>
        <w:t>ES = Extension Specialist, G = Grower</w:t>
      </w:r>
    </w:p>
    <w:p w14:paraId="7C3E2A2A" w14:textId="77777777" w:rsidR="003E3658" w:rsidRDefault="003E3658" w:rsidP="003E3658">
      <w:pPr>
        <w:autoSpaceDE w:val="0"/>
        <w:autoSpaceDN w:val="0"/>
        <w:adjustRightInd w:val="0"/>
        <w:rPr>
          <w:rFonts w:ascii="FuturaStd-CondensedBoldObl" w:hAnsi="FuturaStd-CondensedBoldObl" w:cs="FuturaStd-CondensedBoldObl"/>
          <w:b/>
          <w:bCs/>
          <w:i/>
          <w:iCs/>
          <w:sz w:val="18"/>
          <w:szCs w:val="18"/>
        </w:rPr>
      </w:pPr>
      <w:proofErr w:type="gramStart"/>
      <w:r>
        <w:rPr>
          <w:rFonts w:ascii="FuturaStd-CondensedBoldObl" w:hAnsi="FuturaStd-CondensedBoldObl" w:cs="FuturaStd-CondensedBoldObl"/>
          <w:b/>
          <w:bCs/>
          <w:i/>
          <w:iCs/>
          <w:sz w:val="18"/>
          <w:szCs w:val="18"/>
        </w:rPr>
        <w:t>F(</w:t>
      </w:r>
      <w:proofErr w:type="gramEnd"/>
      <w:r>
        <w:rPr>
          <w:rFonts w:ascii="FuturaStd-CondensedBoldObl" w:hAnsi="FuturaStd-CondensedBoldObl" w:cs="FuturaStd-CondensedBoldObl"/>
          <w:b/>
          <w:bCs/>
          <w:i/>
          <w:iCs/>
          <w:sz w:val="18"/>
          <w:szCs w:val="18"/>
        </w:rPr>
        <w:t>1-5) indicates field location (F3 = Field 3)</w:t>
      </w:r>
    </w:p>
    <w:p w14:paraId="77E478A1" w14:textId="77777777" w:rsidR="003E3658" w:rsidRDefault="003E3658" w:rsidP="003E3658">
      <w:pPr>
        <w:autoSpaceDE w:val="0"/>
        <w:autoSpaceDN w:val="0"/>
        <w:adjustRightInd w:val="0"/>
        <w:rPr>
          <w:rFonts w:cstheme="minorBidi"/>
          <w:sz w:val="22"/>
          <w:szCs w:val="22"/>
        </w:rPr>
      </w:pPr>
      <w:r>
        <w:rPr>
          <w:rFonts w:ascii="FuturaStd-CondensedBoldObl" w:hAnsi="FuturaStd-CondensedBoldObl" w:cs="FuturaStd-CondensedBoldObl"/>
          <w:b/>
          <w:bCs/>
          <w:i/>
          <w:iCs/>
          <w:sz w:val="18"/>
          <w:szCs w:val="18"/>
        </w:rPr>
        <w:t>0, 30, or 78 indicate number of hours sample was held in hot vehicle</w:t>
      </w:r>
    </w:p>
    <w:p w14:paraId="12F49D92" w14:textId="77777777" w:rsidR="003E3658" w:rsidRDefault="003E3658" w:rsidP="003E3658">
      <w:pPr>
        <w:autoSpaceDE w:val="0"/>
        <w:autoSpaceDN w:val="0"/>
        <w:adjustRightInd w:val="0"/>
      </w:pPr>
    </w:p>
    <w:p w14:paraId="4D4D9EDD" w14:textId="77777777" w:rsidR="003E3658" w:rsidRDefault="003E3658" w:rsidP="003E3658">
      <w:pPr>
        <w:autoSpaceDE w:val="0"/>
        <w:autoSpaceDN w:val="0"/>
        <w:adjustRightInd w:val="0"/>
      </w:pPr>
    </w:p>
    <w:p w14:paraId="35D4604C" w14:textId="77777777" w:rsidR="003E3658" w:rsidRDefault="003E3658" w:rsidP="003E3658">
      <w:pPr>
        <w:autoSpaceDE w:val="0"/>
        <w:autoSpaceDN w:val="0"/>
        <w:adjustRightInd w:val="0"/>
      </w:pPr>
      <w:r>
        <w:rPr>
          <w:b/>
        </w:rPr>
        <w:t>SCN juvenile</w:t>
      </w:r>
      <w:r>
        <w:t>:</w:t>
      </w:r>
      <w:r>
        <w:tab/>
        <w:t>ES collected-sample was highest in only 1 field while G-collected sample was higher in 2 fields.  The remaining 2 fields has zero counts for both grower- and specialist-collected samples.</w:t>
      </w:r>
    </w:p>
    <w:p w14:paraId="2F7F1F8C" w14:textId="77777777" w:rsidR="003E3658" w:rsidRDefault="003E3658" w:rsidP="003E3658">
      <w:pPr>
        <w:autoSpaceDE w:val="0"/>
        <w:autoSpaceDN w:val="0"/>
        <w:adjustRightInd w:val="0"/>
      </w:pPr>
      <w:r>
        <w:t xml:space="preserve">  </w:t>
      </w:r>
    </w:p>
    <w:p w14:paraId="3AEA12D4" w14:textId="57D6B8E1" w:rsidR="003E3658" w:rsidRDefault="003E3658" w:rsidP="003E3658">
      <w:pPr>
        <w:autoSpaceDE w:val="0"/>
        <w:autoSpaceDN w:val="0"/>
        <w:adjustRightInd w:val="0"/>
      </w:pPr>
      <w:r>
        <w:rPr>
          <w:noProof/>
        </w:rPr>
        <w:drawing>
          <wp:inline distT="0" distB="0" distL="0" distR="0" wp14:anchorId="3F396E64" wp14:editId="6F20C948">
            <wp:extent cx="3486150" cy="2505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2505075"/>
                    </a:xfrm>
                    <a:prstGeom prst="rect">
                      <a:avLst/>
                    </a:prstGeom>
                    <a:noFill/>
                    <a:ln>
                      <a:noFill/>
                    </a:ln>
                  </pic:spPr>
                </pic:pic>
              </a:graphicData>
            </a:graphic>
          </wp:inline>
        </w:drawing>
      </w:r>
    </w:p>
    <w:p w14:paraId="40E1281B" w14:textId="77777777" w:rsidR="003E3658" w:rsidRDefault="003E3658" w:rsidP="003E3658">
      <w:pPr>
        <w:autoSpaceDE w:val="0"/>
        <w:autoSpaceDN w:val="0"/>
        <w:adjustRightInd w:val="0"/>
        <w:rPr>
          <w:b/>
        </w:rPr>
      </w:pPr>
    </w:p>
    <w:p w14:paraId="18CC6C87" w14:textId="77777777" w:rsidR="003E3658" w:rsidRDefault="003E3658" w:rsidP="003E3658">
      <w:pPr>
        <w:rPr>
          <w:b/>
        </w:rPr>
      </w:pPr>
      <w:r>
        <w:rPr>
          <w:b/>
        </w:rPr>
        <w:br w:type="page"/>
      </w:r>
    </w:p>
    <w:p w14:paraId="756C2CEA" w14:textId="77777777" w:rsidR="003E3658" w:rsidRDefault="003E3658" w:rsidP="003E3658">
      <w:pPr>
        <w:autoSpaceDE w:val="0"/>
        <w:autoSpaceDN w:val="0"/>
        <w:adjustRightInd w:val="0"/>
      </w:pPr>
      <w:r>
        <w:rPr>
          <w:b/>
        </w:rPr>
        <w:lastRenderedPageBreak/>
        <w:t>SCN Cyst stage</w:t>
      </w:r>
      <w:r>
        <w:t>:  ES-collected sample was highest in 2 fields while G-collected sample was higher in 2 fields.  The remaining field had identical counts.</w:t>
      </w:r>
    </w:p>
    <w:p w14:paraId="5203FDD9" w14:textId="0FF4ADFA" w:rsidR="003E3658" w:rsidRDefault="003E3658" w:rsidP="003E3658">
      <w:pPr>
        <w:autoSpaceDE w:val="0"/>
        <w:autoSpaceDN w:val="0"/>
        <w:adjustRightInd w:val="0"/>
      </w:pPr>
      <w:r>
        <w:rPr>
          <w:noProof/>
        </w:rPr>
        <w:drawing>
          <wp:inline distT="0" distB="0" distL="0" distR="0" wp14:anchorId="194CDA1B" wp14:editId="760098D9">
            <wp:extent cx="3495675" cy="2505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2505075"/>
                    </a:xfrm>
                    <a:prstGeom prst="rect">
                      <a:avLst/>
                    </a:prstGeom>
                    <a:noFill/>
                    <a:ln>
                      <a:noFill/>
                    </a:ln>
                  </pic:spPr>
                </pic:pic>
              </a:graphicData>
            </a:graphic>
          </wp:inline>
        </w:drawing>
      </w:r>
    </w:p>
    <w:p w14:paraId="7E2E5CF2" w14:textId="77777777" w:rsidR="003E3658" w:rsidRDefault="003E3658" w:rsidP="003E3658">
      <w:pPr>
        <w:autoSpaceDE w:val="0"/>
        <w:autoSpaceDN w:val="0"/>
        <w:adjustRightInd w:val="0"/>
      </w:pPr>
    </w:p>
    <w:p w14:paraId="53B0BE6D" w14:textId="77777777" w:rsidR="003E3658" w:rsidRDefault="003E3658" w:rsidP="003E3658">
      <w:pPr>
        <w:autoSpaceDE w:val="0"/>
        <w:autoSpaceDN w:val="0"/>
        <w:adjustRightInd w:val="0"/>
        <w:rPr>
          <w:b/>
        </w:rPr>
      </w:pPr>
      <w:r>
        <w:rPr>
          <w:b/>
        </w:rPr>
        <w:t xml:space="preserve">Objective 2: </w:t>
      </w:r>
      <w:r>
        <w:rPr>
          <w:b/>
          <w:i/>
        </w:rPr>
        <w:t>Compare sample analysis via USPS Ground transportation versus direct delivery by Extension Specialist</w:t>
      </w:r>
      <w:r>
        <w:rPr>
          <w:b/>
        </w:rPr>
        <w:t>.</w:t>
      </w:r>
    </w:p>
    <w:p w14:paraId="3E864805" w14:textId="77777777" w:rsidR="003E3658" w:rsidRDefault="003E3658" w:rsidP="003E3658">
      <w:pPr>
        <w:autoSpaceDE w:val="0"/>
        <w:autoSpaceDN w:val="0"/>
        <w:adjustRightInd w:val="0"/>
      </w:pPr>
      <w:r>
        <w:t xml:space="preserve"> </w:t>
      </w:r>
    </w:p>
    <w:p w14:paraId="4085BB49" w14:textId="77777777" w:rsidR="003E3658" w:rsidRDefault="003E3658" w:rsidP="003E3658">
      <w:pPr>
        <w:autoSpaceDE w:val="0"/>
        <w:autoSpaceDN w:val="0"/>
        <w:adjustRightInd w:val="0"/>
      </w:pPr>
      <w:r>
        <w:t>All 5 test locations were sampled in late August/early September and analyzed for nematode populations at the Nematology Laboratory at MSU. Each sample was divided into 3 subsamples: 0 hours in hot vehicle, 30 hours in hot vehicle, and 78 hours in hot vehicle.</w:t>
      </w:r>
    </w:p>
    <w:p w14:paraId="656EC6B2" w14:textId="77777777" w:rsidR="003E3658" w:rsidRDefault="003E3658" w:rsidP="003E3658">
      <w:pPr>
        <w:autoSpaceDE w:val="0"/>
        <w:autoSpaceDN w:val="0"/>
        <w:adjustRightInd w:val="0"/>
      </w:pPr>
    </w:p>
    <w:p w14:paraId="65C97912" w14:textId="77777777" w:rsidR="003E3658" w:rsidRDefault="003E3658" w:rsidP="003E3658">
      <w:pPr>
        <w:autoSpaceDE w:val="0"/>
        <w:autoSpaceDN w:val="0"/>
        <w:adjustRightInd w:val="0"/>
      </w:pPr>
      <w:r>
        <w:t>Reniform, lesion, spiral, lance, stunt and sheath populations were below threshold in all samples and will not be discussed.  Root-knot, SCN juvenile, and SCN Cyst stage had above-threshold counts and are the focus of results.</w:t>
      </w:r>
    </w:p>
    <w:p w14:paraId="7D36A2A5" w14:textId="77777777" w:rsidR="003E3658" w:rsidRDefault="003E3658" w:rsidP="003E3658">
      <w:pPr>
        <w:autoSpaceDE w:val="0"/>
        <w:autoSpaceDN w:val="0"/>
        <w:adjustRightInd w:val="0"/>
      </w:pPr>
    </w:p>
    <w:p w14:paraId="340A7E7E" w14:textId="77777777" w:rsidR="003E3658" w:rsidRDefault="003E3658" w:rsidP="003E3658">
      <w:pPr>
        <w:autoSpaceDE w:val="0"/>
        <w:autoSpaceDN w:val="0"/>
        <w:adjustRightInd w:val="0"/>
      </w:pPr>
      <w:r>
        <w:rPr>
          <w:b/>
        </w:rPr>
        <w:t>Root-knot</w:t>
      </w:r>
      <w:r>
        <w:t>:  Longer exposure in a hot vehicle led to 1 field increasing counts, 1 field decreasing counts, and 3 fields remaining fairly constant regardless of time in hot vehicle.</w:t>
      </w:r>
    </w:p>
    <w:p w14:paraId="11A366A4" w14:textId="77777777" w:rsidR="003E3658" w:rsidRDefault="003E3658" w:rsidP="003E3658">
      <w:pPr>
        <w:autoSpaceDE w:val="0"/>
        <w:autoSpaceDN w:val="0"/>
        <w:adjustRightInd w:val="0"/>
      </w:pPr>
    </w:p>
    <w:p w14:paraId="44A56444" w14:textId="26DD6DEE" w:rsidR="003E3658" w:rsidRDefault="003E3658" w:rsidP="003E3658">
      <w:pPr>
        <w:autoSpaceDE w:val="0"/>
        <w:autoSpaceDN w:val="0"/>
        <w:adjustRightInd w:val="0"/>
      </w:pPr>
      <w:r>
        <w:rPr>
          <w:noProof/>
        </w:rPr>
        <w:drawing>
          <wp:inline distT="0" distB="0" distL="0" distR="0" wp14:anchorId="3458073D" wp14:editId="1F1C9719">
            <wp:extent cx="3476625" cy="2466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2466975"/>
                    </a:xfrm>
                    <a:prstGeom prst="rect">
                      <a:avLst/>
                    </a:prstGeom>
                    <a:noFill/>
                    <a:ln>
                      <a:noFill/>
                    </a:ln>
                  </pic:spPr>
                </pic:pic>
              </a:graphicData>
            </a:graphic>
          </wp:inline>
        </w:drawing>
      </w:r>
    </w:p>
    <w:p w14:paraId="18045182" w14:textId="77777777" w:rsidR="003E3658" w:rsidRDefault="003E3658" w:rsidP="003E3658">
      <w:pPr>
        <w:autoSpaceDE w:val="0"/>
        <w:autoSpaceDN w:val="0"/>
        <w:adjustRightInd w:val="0"/>
      </w:pPr>
    </w:p>
    <w:p w14:paraId="37E86E09" w14:textId="77777777" w:rsidR="003E3658" w:rsidRDefault="003E3658" w:rsidP="003E3658">
      <w:pPr>
        <w:autoSpaceDE w:val="0"/>
        <w:autoSpaceDN w:val="0"/>
        <w:adjustRightInd w:val="0"/>
      </w:pPr>
      <w:r>
        <w:rPr>
          <w:b/>
        </w:rPr>
        <w:lastRenderedPageBreak/>
        <w:t>SCN juvenile</w:t>
      </w:r>
      <w:r>
        <w:t>:</w:t>
      </w:r>
      <w:r>
        <w:tab/>
        <w:t>Longer exposure in a hot vehicle led to 1 field increasing counts, 3 fields decreasing counts, and 1 field remaining fairly constant regardless of time in hot vehicle.</w:t>
      </w:r>
    </w:p>
    <w:p w14:paraId="6AD2291B" w14:textId="77777777" w:rsidR="003E3658" w:rsidRDefault="003E3658" w:rsidP="003E3658">
      <w:pPr>
        <w:autoSpaceDE w:val="0"/>
        <w:autoSpaceDN w:val="0"/>
        <w:adjustRightInd w:val="0"/>
      </w:pPr>
    </w:p>
    <w:p w14:paraId="1B7FE8D9" w14:textId="0D6131FE" w:rsidR="003E3658" w:rsidRDefault="003E3658" w:rsidP="003E3658">
      <w:pPr>
        <w:autoSpaceDE w:val="0"/>
        <w:autoSpaceDN w:val="0"/>
        <w:adjustRightInd w:val="0"/>
      </w:pPr>
      <w:r>
        <w:rPr>
          <w:noProof/>
        </w:rPr>
        <w:drawing>
          <wp:inline distT="0" distB="0" distL="0" distR="0" wp14:anchorId="301A894D" wp14:editId="003F09A2">
            <wp:extent cx="323850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343150"/>
                    </a:xfrm>
                    <a:prstGeom prst="rect">
                      <a:avLst/>
                    </a:prstGeom>
                    <a:noFill/>
                    <a:ln>
                      <a:noFill/>
                    </a:ln>
                  </pic:spPr>
                </pic:pic>
              </a:graphicData>
            </a:graphic>
          </wp:inline>
        </w:drawing>
      </w:r>
    </w:p>
    <w:p w14:paraId="15148003" w14:textId="77777777" w:rsidR="003E3658" w:rsidRDefault="003E3658" w:rsidP="003E3658">
      <w:pPr>
        <w:autoSpaceDE w:val="0"/>
        <w:autoSpaceDN w:val="0"/>
        <w:adjustRightInd w:val="0"/>
      </w:pPr>
    </w:p>
    <w:p w14:paraId="4E7FA8E3" w14:textId="77777777" w:rsidR="003E3658" w:rsidRDefault="003E3658" w:rsidP="003E3658">
      <w:pPr>
        <w:autoSpaceDE w:val="0"/>
        <w:autoSpaceDN w:val="0"/>
        <w:adjustRightInd w:val="0"/>
      </w:pPr>
      <w:r>
        <w:rPr>
          <w:b/>
        </w:rPr>
        <w:t>SCN Cyst stage</w:t>
      </w:r>
      <w:r>
        <w:t>: Longer exposure in a hot vehicle had little effect on cyst counts.</w:t>
      </w:r>
    </w:p>
    <w:p w14:paraId="127EF657" w14:textId="77777777" w:rsidR="003E3658" w:rsidRDefault="003E3658" w:rsidP="003E3658">
      <w:pPr>
        <w:autoSpaceDE w:val="0"/>
        <w:autoSpaceDN w:val="0"/>
        <w:adjustRightInd w:val="0"/>
      </w:pPr>
    </w:p>
    <w:p w14:paraId="2BBD3455" w14:textId="7BD322C4" w:rsidR="003E3658" w:rsidRDefault="003E3658" w:rsidP="003E3658">
      <w:pPr>
        <w:autoSpaceDE w:val="0"/>
        <w:autoSpaceDN w:val="0"/>
        <w:adjustRightInd w:val="0"/>
      </w:pPr>
      <w:r>
        <w:rPr>
          <w:noProof/>
        </w:rPr>
        <w:drawing>
          <wp:inline distT="0" distB="0" distL="0" distR="0" wp14:anchorId="05121629" wp14:editId="65229C4D">
            <wp:extent cx="3438525" cy="2486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486025"/>
                    </a:xfrm>
                    <a:prstGeom prst="rect">
                      <a:avLst/>
                    </a:prstGeom>
                    <a:noFill/>
                    <a:ln>
                      <a:noFill/>
                    </a:ln>
                  </pic:spPr>
                </pic:pic>
              </a:graphicData>
            </a:graphic>
          </wp:inline>
        </w:drawing>
      </w:r>
    </w:p>
    <w:p w14:paraId="148D7AB9" w14:textId="77777777" w:rsidR="003E3658" w:rsidRDefault="003E3658" w:rsidP="003E3658">
      <w:pPr>
        <w:autoSpaceDE w:val="0"/>
        <w:autoSpaceDN w:val="0"/>
        <w:adjustRightInd w:val="0"/>
        <w:rPr>
          <w:u w:val="single"/>
        </w:rPr>
      </w:pPr>
    </w:p>
    <w:p w14:paraId="12A9B685" w14:textId="77777777" w:rsidR="003E3658" w:rsidRDefault="003E3658" w:rsidP="003E3658">
      <w:pPr>
        <w:autoSpaceDE w:val="0"/>
        <w:autoSpaceDN w:val="0"/>
        <w:adjustRightInd w:val="0"/>
        <w:jc w:val="center"/>
      </w:pPr>
    </w:p>
    <w:p w14:paraId="13CBBF58" w14:textId="77777777" w:rsidR="003E3658" w:rsidRDefault="003E3658" w:rsidP="003E3658">
      <w:pPr>
        <w:autoSpaceDE w:val="0"/>
        <w:autoSpaceDN w:val="0"/>
        <w:adjustRightInd w:val="0"/>
        <w:jc w:val="center"/>
      </w:pPr>
    </w:p>
    <w:p w14:paraId="0A786133" w14:textId="77777777" w:rsidR="003E3658" w:rsidRDefault="003E3658" w:rsidP="003E3658">
      <w:pPr>
        <w:autoSpaceDE w:val="0"/>
        <w:autoSpaceDN w:val="0"/>
        <w:adjustRightInd w:val="0"/>
        <w:jc w:val="center"/>
      </w:pPr>
    </w:p>
    <w:p w14:paraId="473586EB" w14:textId="77777777" w:rsidR="003E3658" w:rsidRDefault="003E3658" w:rsidP="003E3658">
      <w:pPr>
        <w:autoSpaceDE w:val="0"/>
        <w:autoSpaceDN w:val="0"/>
        <w:adjustRightInd w:val="0"/>
        <w:jc w:val="center"/>
      </w:pPr>
    </w:p>
    <w:p w14:paraId="6B85B159" w14:textId="77777777" w:rsidR="003E3658" w:rsidRDefault="003E3658" w:rsidP="003E3658">
      <w:pPr>
        <w:autoSpaceDE w:val="0"/>
        <w:autoSpaceDN w:val="0"/>
        <w:adjustRightInd w:val="0"/>
        <w:jc w:val="center"/>
      </w:pPr>
    </w:p>
    <w:p w14:paraId="02F18438" w14:textId="77777777" w:rsidR="003E3658" w:rsidRDefault="003E3658" w:rsidP="003E3658">
      <w:pPr>
        <w:autoSpaceDE w:val="0"/>
        <w:autoSpaceDN w:val="0"/>
        <w:adjustRightInd w:val="0"/>
        <w:jc w:val="center"/>
      </w:pPr>
    </w:p>
    <w:p w14:paraId="066A0694" w14:textId="77777777" w:rsidR="003E3658" w:rsidRDefault="003E3658" w:rsidP="003E3658">
      <w:pPr>
        <w:autoSpaceDE w:val="0"/>
        <w:autoSpaceDN w:val="0"/>
        <w:adjustRightInd w:val="0"/>
        <w:jc w:val="center"/>
      </w:pPr>
    </w:p>
    <w:p w14:paraId="2C8B1204" w14:textId="77777777" w:rsidR="003E3658" w:rsidRDefault="003E3658" w:rsidP="003E3658">
      <w:pPr>
        <w:autoSpaceDE w:val="0"/>
        <w:autoSpaceDN w:val="0"/>
        <w:adjustRightInd w:val="0"/>
        <w:jc w:val="center"/>
      </w:pPr>
    </w:p>
    <w:p w14:paraId="6E3F0167" w14:textId="77777777" w:rsidR="003E3658" w:rsidRDefault="003E3658" w:rsidP="003E3658">
      <w:pPr>
        <w:autoSpaceDE w:val="0"/>
        <w:autoSpaceDN w:val="0"/>
        <w:adjustRightInd w:val="0"/>
        <w:jc w:val="center"/>
      </w:pPr>
    </w:p>
    <w:p w14:paraId="0225B4D6" w14:textId="77777777" w:rsidR="003E3658" w:rsidRDefault="003E3658" w:rsidP="003E3658">
      <w:pPr>
        <w:autoSpaceDE w:val="0"/>
        <w:autoSpaceDN w:val="0"/>
        <w:adjustRightInd w:val="0"/>
        <w:jc w:val="center"/>
      </w:pPr>
    </w:p>
    <w:p w14:paraId="7B971A87" w14:textId="77777777" w:rsidR="003E3658" w:rsidRDefault="003E3658" w:rsidP="003E3658">
      <w:pPr>
        <w:autoSpaceDE w:val="0"/>
        <w:autoSpaceDN w:val="0"/>
        <w:adjustRightInd w:val="0"/>
        <w:jc w:val="center"/>
      </w:pPr>
    </w:p>
    <w:p w14:paraId="6EE1B45D" w14:textId="77777777" w:rsidR="003E3658" w:rsidRDefault="003E3658" w:rsidP="003E3658">
      <w:pPr>
        <w:autoSpaceDE w:val="0"/>
        <w:autoSpaceDN w:val="0"/>
        <w:adjustRightInd w:val="0"/>
        <w:jc w:val="center"/>
      </w:pPr>
    </w:p>
    <w:p w14:paraId="7E6DEC86" w14:textId="77777777" w:rsidR="003E3658" w:rsidRDefault="003E3658" w:rsidP="003E3658">
      <w:pPr>
        <w:autoSpaceDE w:val="0"/>
        <w:autoSpaceDN w:val="0"/>
        <w:adjustRightInd w:val="0"/>
        <w:jc w:val="center"/>
        <w:rPr>
          <w:b/>
        </w:rPr>
      </w:pPr>
      <w:r>
        <w:rPr>
          <w:b/>
        </w:rPr>
        <w:lastRenderedPageBreak/>
        <w:t>IMPACTS</w:t>
      </w:r>
    </w:p>
    <w:p w14:paraId="5A17DE5E" w14:textId="77777777" w:rsidR="003E3658" w:rsidRDefault="003E3658" w:rsidP="003E3658">
      <w:pPr>
        <w:autoSpaceDE w:val="0"/>
        <w:autoSpaceDN w:val="0"/>
        <w:adjustRightInd w:val="0"/>
      </w:pPr>
    </w:p>
    <w:p w14:paraId="60BAA891" w14:textId="77777777" w:rsidR="003E3658" w:rsidRDefault="003E3658" w:rsidP="003E3658">
      <w:pPr>
        <w:autoSpaceDE w:val="0"/>
        <w:autoSpaceDN w:val="0"/>
        <w:adjustRightInd w:val="0"/>
      </w:pPr>
      <w:r>
        <w:t xml:space="preserve">Sample collection by a “trained” Extension Specialist and an “untrained” grower resulted in both individuals finding higher populations 6 times out of 15 opportunities.  </w:t>
      </w:r>
      <w:r w:rsidRPr="003E3658">
        <w:rPr>
          <w:b/>
        </w:rPr>
        <w:t>This suggests that advanced training helps one recognize nematode symptomology but it does not translate into finding higher populations within that field. These data suggest that storing samples in an ice chest may be moot in some instances and collecting a representative sample from areas of a field showing symptomology is more critical than storage method or the number of cores collected.</w:t>
      </w:r>
    </w:p>
    <w:p w14:paraId="73E1BC82" w14:textId="77777777" w:rsidR="003E3658" w:rsidRDefault="003E3658" w:rsidP="003E3658">
      <w:pPr>
        <w:autoSpaceDE w:val="0"/>
        <w:autoSpaceDN w:val="0"/>
        <w:adjustRightInd w:val="0"/>
      </w:pPr>
    </w:p>
    <w:p w14:paraId="3609AE67" w14:textId="77777777" w:rsidR="003E3658" w:rsidRDefault="003E3658" w:rsidP="003E3658">
      <w:pPr>
        <w:autoSpaceDE w:val="0"/>
        <w:autoSpaceDN w:val="0"/>
        <w:adjustRightInd w:val="0"/>
      </w:pPr>
      <w:r w:rsidRPr="003E3658">
        <w:rPr>
          <w:b/>
        </w:rPr>
        <w:t>Increased exposure in a hot vehicle did not reduce overall nematode population counts as expected; however, it does seem to reduce SCN juvenile counts.</w:t>
      </w:r>
      <w:r>
        <w:t xml:space="preserve">  Literature indicates nematode populations fluctuate widely due to temperature, moisture, time that the host plant is available, and population dynamics of adults dying and successive generations hatching.  Generation hatching may explain population fluctuation between samples analyzed over time (hours in hot vehicle).  Numerous samples had low populations when delivered immediately to the laboratory but increased populations with more time and exposure to hot conditions. </w:t>
      </w:r>
    </w:p>
    <w:p w14:paraId="2C7483E7" w14:textId="77777777" w:rsidR="003E3658" w:rsidRDefault="003E3658" w:rsidP="003E3658">
      <w:pPr>
        <w:autoSpaceDE w:val="0"/>
        <w:autoSpaceDN w:val="0"/>
        <w:adjustRightInd w:val="0"/>
      </w:pPr>
    </w:p>
    <w:p w14:paraId="0CF510A2" w14:textId="77777777" w:rsidR="003E3658" w:rsidRPr="003E3658" w:rsidRDefault="003E3658" w:rsidP="003E3658">
      <w:pPr>
        <w:autoSpaceDE w:val="0"/>
        <w:autoSpaceDN w:val="0"/>
        <w:adjustRightInd w:val="0"/>
        <w:rPr>
          <w:b/>
        </w:rPr>
      </w:pPr>
      <w:r w:rsidRPr="003E3658">
        <w:rPr>
          <w:b/>
        </w:rPr>
        <w:t xml:space="preserve">It appears that laboratory analysis can result in a true-positive or a false-negative.  If test results are negative but field symptomology such as stunting or yellowing suggests a possible nematode infestation, it may be justified to submit a second sample to overcome the generational effect. </w:t>
      </w:r>
    </w:p>
    <w:p w14:paraId="308BD6EB" w14:textId="77777777" w:rsidR="003E3658" w:rsidRDefault="003E3658" w:rsidP="003E3658">
      <w:pPr>
        <w:autoSpaceDE w:val="0"/>
        <w:autoSpaceDN w:val="0"/>
        <w:adjustRightInd w:val="0"/>
        <w:jc w:val="center"/>
        <w:rPr>
          <w:rFonts w:ascii="TimesNewRomanPSMT" w:hAnsi="TimesNewRomanPSMT" w:cs="TimesNewRomanPSMT"/>
          <w:szCs w:val="24"/>
        </w:rPr>
      </w:pPr>
    </w:p>
    <w:p w14:paraId="7FC0B475" w14:textId="77777777" w:rsidR="003E3658" w:rsidRDefault="003E3658" w:rsidP="003E3658">
      <w:pPr>
        <w:autoSpaceDE w:val="0"/>
        <w:autoSpaceDN w:val="0"/>
        <w:adjustRightInd w:val="0"/>
        <w:jc w:val="center"/>
        <w:rPr>
          <w:rFonts w:ascii="TimesNewRomanPSMT" w:hAnsi="TimesNewRomanPSMT" w:cs="TimesNewRomanPSMT"/>
          <w:b/>
          <w:szCs w:val="24"/>
        </w:rPr>
      </w:pPr>
      <w:bookmarkStart w:id="0" w:name="_GoBack"/>
      <w:bookmarkEnd w:id="0"/>
      <w:r>
        <w:rPr>
          <w:rFonts w:ascii="TimesNewRomanPSMT" w:hAnsi="TimesNewRomanPSMT" w:cs="TimesNewRomanPSMT"/>
          <w:b/>
          <w:szCs w:val="24"/>
        </w:rPr>
        <w:t>END PRODUCTS</w:t>
      </w:r>
    </w:p>
    <w:p w14:paraId="1ED7EA76" w14:textId="77777777" w:rsidR="003E3658" w:rsidRDefault="003E3658" w:rsidP="003E3658">
      <w:pPr>
        <w:autoSpaceDE w:val="0"/>
        <w:autoSpaceDN w:val="0"/>
        <w:adjustRightInd w:val="0"/>
        <w:rPr>
          <w:rFonts w:ascii="TimesNewRomanPSMT" w:hAnsi="TimesNewRomanPSMT" w:cs="TimesNewRomanPSMT"/>
          <w:szCs w:val="24"/>
        </w:rPr>
      </w:pPr>
    </w:p>
    <w:p w14:paraId="5C4A7161" w14:textId="77777777" w:rsidR="003E3658" w:rsidRDefault="003E3658" w:rsidP="003E3658">
      <w:pPr>
        <w:autoSpaceDE w:val="0"/>
        <w:autoSpaceDN w:val="0"/>
        <w:adjustRightInd w:val="0"/>
        <w:rPr>
          <w:rFonts w:ascii="TimesNewRomanPSMT" w:hAnsi="TimesNewRomanPSMT" w:cs="TimesNewRomanPSMT"/>
          <w:szCs w:val="24"/>
          <w:u w:val="single"/>
        </w:rPr>
      </w:pPr>
      <w:r>
        <w:rPr>
          <w:rFonts w:ascii="TimesNewRomanPSMT" w:hAnsi="TimesNewRomanPSMT" w:cs="TimesNewRomanPSMT"/>
          <w:szCs w:val="24"/>
          <w:u w:val="single"/>
        </w:rPr>
        <w:t>Completed</w:t>
      </w:r>
    </w:p>
    <w:p w14:paraId="2EEC7F24" w14:textId="77777777" w:rsidR="003E3658" w:rsidRDefault="003E3658" w:rsidP="003E3658">
      <w:pPr>
        <w:autoSpaceDE w:val="0"/>
        <w:autoSpaceDN w:val="0"/>
        <w:adjustRightInd w:val="0"/>
        <w:rPr>
          <w:rFonts w:ascii="TimesNewRomanPSMT" w:hAnsi="TimesNewRomanPSMT" w:cs="TimesNewRomanPSMT"/>
          <w:szCs w:val="24"/>
          <w:u w:val="single"/>
        </w:rPr>
      </w:pPr>
    </w:p>
    <w:p w14:paraId="41D646F1" w14:textId="77777777" w:rsidR="003E3658" w:rsidRDefault="003E3658" w:rsidP="003E3658">
      <w:pPr>
        <w:autoSpaceDE w:val="0"/>
        <w:autoSpaceDN w:val="0"/>
        <w:adjustRightInd w:val="0"/>
        <w:rPr>
          <w:rFonts w:ascii="TimesNewRomanPSMT" w:hAnsi="TimesNewRomanPSMT" w:cs="TimesNewRomanPSMT"/>
          <w:szCs w:val="24"/>
        </w:rPr>
      </w:pPr>
      <w:r>
        <w:rPr>
          <w:rFonts w:ascii="TimesNewRomanPSMT" w:hAnsi="TimesNewRomanPSMT" w:cs="TimesNewRomanPSMT"/>
          <w:szCs w:val="24"/>
        </w:rPr>
        <w:t>Nematodes in Mississippi Soybean: A Case Study Evaluating Sampling and Transportation Methods. June 2018. Bill Burdine.  Mississippi State University Extension Publication 3244.</w:t>
      </w:r>
    </w:p>
    <w:p w14:paraId="546C7499" w14:textId="77777777" w:rsidR="003E3658" w:rsidRDefault="003E3658" w:rsidP="003E3658">
      <w:pPr>
        <w:autoSpaceDE w:val="0"/>
        <w:autoSpaceDN w:val="0"/>
        <w:adjustRightInd w:val="0"/>
        <w:rPr>
          <w:rFonts w:ascii="TimesNewRomanPSMT" w:hAnsi="TimesNewRomanPSMT" w:cs="TimesNewRomanPSMT"/>
          <w:szCs w:val="24"/>
        </w:rPr>
      </w:pPr>
    </w:p>
    <w:p w14:paraId="5FC204BF" w14:textId="77777777" w:rsidR="003E3658" w:rsidRDefault="003E3658" w:rsidP="003E3658">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Grower Production Meeting. </w:t>
      </w:r>
      <w:r>
        <w:rPr>
          <w:rFonts w:ascii="TimesNewRomanPSMT" w:hAnsi="TimesNewRomanPSMT" w:cs="TimesNewRomanPSMT"/>
          <w:i/>
          <w:szCs w:val="24"/>
        </w:rPr>
        <w:t>Sampling and Transportation Method effects on Nematode Analysis</w:t>
      </w:r>
      <w:r>
        <w:rPr>
          <w:rFonts w:ascii="TimesNewRomanPSMT" w:hAnsi="TimesNewRomanPSMT" w:cs="TimesNewRomanPSMT"/>
          <w:szCs w:val="24"/>
        </w:rPr>
        <w:t xml:space="preserve">. Attendees represented from 4 counties.  Pontotoc, MS. March 01, 2018. </w:t>
      </w:r>
    </w:p>
    <w:p w14:paraId="313CF432" w14:textId="77777777" w:rsidR="003E3658" w:rsidRDefault="003E3658" w:rsidP="003E3658">
      <w:pPr>
        <w:autoSpaceDE w:val="0"/>
        <w:autoSpaceDN w:val="0"/>
        <w:adjustRightInd w:val="0"/>
        <w:rPr>
          <w:rFonts w:ascii="TimesNewRomanPSMT" w:hAnsi="TimesNewRomanPSMT" w:cs="TimesNewRomanPSMT"/>
          <w:szCs w:val="24"/>
        </w:rPr>
      </w:pPr>
    </w:p>
    <w:p w14:paraId="0A70EFB8" w14:textId="77777777" w:rsidR="003E3658" w:rsidRDefault="003E3658" w:rsidP="003E3658">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Grower Production Meeting. </w:t>
      </w:r>
      <w:r>
        <w:rPr>
          <w:rFonts w:ascii="TimesNewRomanPSMT" w:hAnsi="TimesNewRomanPSMT" w:cs="TimesNewRomanPSMT"/>
          <w:i/>
          <w:szCs w:val="24"/>
        </w:rPr>
        <w:t>Sampling and Transportation Method effects on Nematode Analysis</w:t>
      </w:r>
      <w:r>
        <w:rPr>
          <w:rFonts w:ascii="TimesNewRomanPSMT" w:hAnsi="TimesNewRomanPSMT" w:cs="TimesNewRomanPSMT"/>
          <w:szCs w:val="24"/>
        </w:rPr>
        <w:t>. Attendees represented from 3 counties.  Pittsboro, MS. March 01, 2018.</w:t>
      </w:r>
    </w:p>
    <w:p w14:paraId="29A9193F" w14:textId="77777777" w:rsidR="003E3658" w:rsidRDefault="003E3658" w:rsidP="003E3658">
      <w:pPr>
        <w:autoSpaceDE w:val="0"/>
        <w:autoSpaceDN w:val="0"/>
        <w:adjustRightInd w:val="0"/>
        <w:rPr>
          <w:rFonts w:ascii="TimesNewRomanPSMT" w:hAnsi="TimesNewRomanPSMT" w:cs="TimesNewRomanPSMT"/>
          <w:szCs w:val="24"/>
        </w:rPr>
      </w:pPr>
    </w:p>
    <w:p w14:paraId="573A5097" w14:textId="77777777" w:rsidR="003E3658" w:rsidRDefault="003E3658" w:rsidP="003E3658">
      <w:pPr>
        <w:autoSpaceDE w:val="0"/>
        <w:autoSpaceDN w:val="0"/>
        <w:adjustRightInd w:val="0"/>
        <w:rPr>
          <w:rFonts w:ascii="TimesNewRomanPSMT" w:hAnsi="TimesNewRomanPSMT" w:cs="TimesNewRomanPSMT"/>
          <w:szCs w:val="24"/>
          <w:u w:val="single"/>
        </w:rPr>
      </w:pPr>
      <w:r>
        <w:rPr>
          <w:rFonts w:ascii="TimesNewRomanPSMT" w:hAnsi="TimesNewRomanPSMT" w:cs="TimesNewRomanPSMT"/>
          <w:szCs w:val="24"/>
          <w:u w:val="single"/>
        </w:rPr>
        <w:t>Forthcoming</w:t>
      </w:r>
    </w:p>
    <w:p w14:paraId="73328E5D" w14:textId="77777777" w:rsidR="003E3658" w:rsidRDefault="003E3658" w:rsidP="003E3658">
      <w:pPr>
        <w:autoSpaceDE w:val="0"/>
        <w:autoSpaceDN w:val="0"/>
        <w:adjustRightInd w:val="0"/>
        <w:rPr>
          <w:rFonts w:ascii="TimesNewRomanPSMT" w:hAnsi="TimesNewRomanPSMT" w:cs="TimesNewRomanPSMT"/>
          <w:szCs w:val="24"/>
          <w:u w:val="single"/>
        </w:rPr>
      </w:pPr>
    </w:p>
    <w:p w14:paraId="758C79FF" w14:textId="77777777" w:rsidR="003E3658" w:rsidRDefault="003E3658" w:rsidP="003E3658">
      <w:pPr>
        <w:autoSpaceDE w:val="0"/>
        <w:autoSpaceDN w:val="0"/>
        <w:adjustRightInd w:val="0"/>
        <w:rPr>
          <w:rFonts w:ascii="TimesNewRomanPSMT" w:hAnsi="TimesNewRomanPSMT" w:cs="TimesNewRomanPSMT"/>
          <w:szCs w:val="24"/>
        </w:rPr>
      </w:pPr>
      <w:r>
        <w:rPr>
          <w:rFonts w:ascii="TimesNewRomanPSMT" w:hAnsi="TimesNewRomanPSMT" w:cs="TimesNewRomanPSMT"/>
          <w:szCs w:val="24"/>
        </w:rPr>
        <w:t>Social Media.  Results will be disseminated via Twitter.</w:t>
      </w:r>
    </w:p>
    <w:p w14:paraId="32761D44" w14:textId="77777777" w:rsidR="000C4746" w:rsidRPr="00760F36" w:rsidRDefault="000C4746" w:rsidP="00760F36"/>
    <w:sectPr w:rsidR="000C4746" w:rsidRPr="00760F36" w:rsidSect="00B92461">
      <w:headerReference w:type="default" r:id="rId14"/>
      <w:footerReference w:type="default" r:id="rId15"/>
      <w:type w:val="continuous"/>
      <w:pgSz w:w="12240" w:h="15840"/>
      <w:pgMar w:top="720" w:right="1080" w:bottom="1008"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8DE53" w14:textId="77777777" w:rsidR="00974500" w:rsidRDefault="00974500" w:rsidP="006A48B1">
      <w:r>
        <w:separator/>
      </w:r>
    </w:p>
  </w:endnote>
  <w:endnote w:type="continuationSeparator" w:id="0">
    <w:p w14:paraId="3AEBE3AC" w14:textId="77777777" w:rsidR="00974500" w:rsidRDefault="00974500" w:rsidP="006A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uturaStd-CondensedBoldObl">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9FC7" w14:textId="40268EC8" w:rsidR="003E3658" w:rsidRDefault="003E3658">
    <w:pPr>
      <w:pStyle w:val="Footer"/>
    </w:pPr>
    <w:hyperlink r:id="rId1" w:history="1">
      <w:r w:rsidRPr="00EF6B84">
        <w:rPr>
          <w:rStyle w:val="Hyperlink"/>
        </w:rPr>
        <w:t>WWW.MSSOY.ORG</w:t>
      </w:r>
    </w:hyperlink>
    <w:r>
      <w:tab/>
      <w:t>July 2018</w:t>
    </w: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58E0" w14:textId="77777777" w:rsidR="00974500" w:rsidRDefault="00974500" w:rsidP="006A48B1">
      <w:r>
        <w:separator/>
      </w:r>
    </w:p>
  </w:footnote>
  <w:footnote w:type="continuationSeparator" w:id="0">
    <w:p w14:paraId="2632C454" w14:textId="77777777" w:rsidR="00974500" w:rsidRDefault="00974500" w:rsidP="006A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D06F2" w14:textId="77777777" w:rsidR="00E24FF3" w:rsidRPr="002045CC" w:rsidRDefault="00E24FF3" w:rsidP="00E24FF3">
    <w:pPr>
      <w:pStyle w:val="Header"/>
      <w:rPr>
        <w:rFonts w:ascii="Times New Roman" w:hAnsi="Times New Roman" w:cs="Times New Roman"/>
        <w:b/>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60BA9818" wp14:editId="7169B20C">
              <wp:simplePos x="0" y="0"/>
              <wp:positionH relativeFrom="margin">
                <wp:posOffset>3209925</wp:posOffset>
              </wp:positionH>
              <wp:positionV relativeFrom="paragraph">
                <wp:posOffset>398144</wp:posOffset>
              </wp:positionV>
              <wp:extent cx="438150" cy="161925"/>
              <wp:effectExtent l="0" t="19050" r="38100" b="47625"/>
              <wp:wrapNone/>
              <wp:docPr id="4" name="Arrow: Right 4"/>
              <wp:cNvGraphicFramePr/>
              <a:graphic xmlns:a="http://schemas.openxmlformats.org/drawingml/2006/main">
                <a:graphicData uri="http://schemas.microsoft.com/office/word/2010/wordprocessingShape">
                  <wps:wsp>
                    <wps:cNvSpPr/>
                    <wps:spPr>
                      <a:xfrm>
                        <a:off x="0" y="0"/>
                        <a:ext cx="4381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21E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52.75pt;margin-top:31.35pt;width:34.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" adj="17609" fillcolor="#5b9bd5 [3204]" strokecolor="#1f4d78 [1604]" strokeweight="1pt">
              <w10:wrap anchorx="margin"/>
            </v:shape>
          </w:pict>
        </mc:Fallback>
      </mc:AlternateContent>
    </w:r>
    <w:r>
      <w:rPr>
        <w:noProof/>
      </w:rPr>
      <w:drawing>
        <wp:inline distT="0" distB="0" distL="0" distR="0" wp14:anchorId="7EE074AF" wp14:editId="03E9675F">
          <wp:extent cx="10858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PB LOGO JPEG.jpg"/>
                  <pic:cNvPicPr/>
                </pic:nvPicPr>
                <pic:blipFill>
                  <a:blip r:embed="rId1">
                    <a:extLst>
                      <a:ext uri="{28A0092B-C50C-407E-A947-70E740481C1C}">
                        <a14:useLocalDpi xmlns:a14="http://schemas.microsoft.com/office/drawing/2010/main" val="0"/>
                      </a:ext>
                    </a:extLst>
                  </a:blip>
                  <a:stretch>
                    <a:fillRect/>
                  </a:stretch>
                </pic:blipFill>
                <pic:spPr>
                  <a:xfrm>
                    <a:off x="0" y="0"/>
                    <a:ext cx="1085850" cy="533400"/>
                  </a:xfrm>
                  <a:prstGeom prst="rect">
                    <a:avLst/>
                  </a:prstGeom>
                </pic:spPr>
              </pic:pic>
            </a:graphicData>
          </a:graphic>
        </wp:inline>
      </w:drawing>
    </w:r>
    <w:r>
      <w:rPr>
        <w:rFonts w:ascii="Times New Roman" w:hAnsi="Times New Roman" w:cs="Times New Roman"/>
        <w:sz w:val="32"/>
        <w:szCs w:val="32"/>
      </w:rPr>
      <w:t xml:space="preserve">  </w:t>
    </w:r>
    <w:r w:rsidR="00D13C71">
      <w:rPr>
        <w:rFonts w:ascii="Times New Roman" w:hAnsi="Times New Roman" w:cs="Times New Roman"/>
        <w:sz w:val="32"/>
        <w:szCs w:val="32"/>
      </w:rPr>
      <w:t xml:space="preserve"> </w:t>
    </w:r>
    <w:hyperlink r:id="rId2" w:history="1">
      <w:r w:rsidR="006A48B1" w:rsidRPr="002045CC">
        <w:rPr>
          <w:rStyle w:val="Hyperlink"/>
          <w:rFonts w:ascii="Times New Roman" w:hAnsi="Times New Roman" w:cs="Times New Roman"/>
          <w:b/>
          <w:sz w:val="32"/>
          <w:szCs w:val="32"/>
        </w:rPr>
        <w:t>WWW.MSSOY.ORG</w:t>
      </w:r>
    </w:hyperlink>
    <w:r w:rsidR="006A48B1" w:rsidRPr="002045CC">
      <w:rPr>
        <w:rFonts w:ascii="Times New Roman" w:hAnsi="Times New Roman" w:cs="Times New Roman"/>
        <w:b/>
        <w:sz w:val="32"/>
        <w:szCs w:val="32"/>
      </w:rPr>
      <w:t xml:space="preserve">           </w:t>
    </w:r>
    <w:r w:rsidRPr="002045CC">
      <w:rPr>
        <w:rFonts w:ascii="Times New Roman" w:hAnsi="Times New Roman" w:cs="Times New Roman"/>
        <w:b/>
        <w:sz w:val="32"/>
        <w:szCs w:val="32"/>
      </w:rPr>
      <w:t xml:space="preserve"> </w:t>
    </w:r>
    <w:r w:rsidR="006A48B1" w:rsidRPr="002045CC">
      <w:rPr>
        <w:rFonts w:ascii="Times New Roman" w:hAnsi="Times New Roman" w:cs="Times New Roman"/>
        <w:b/>
        <w:sz w:val="32"/>
        <w:szCs w:val="32"/>
      </w:rPr>
      <w:t>MSPB WEBSITE</w:t>
    </w:r>
  </w:p>
  <w:p w14:paraId="622048E7" w14:textId="77777777" w:rsidR="006A48B1" w:rsidRPr="006A48B1" w:rsidRDefault="006A48B1" w:rsidP="006A48B1">
    <w:pPr>
      <w:pStyle w:val="Header"/>
      <w:rPr>
        <w:rFonts w:ascii="Times New Roman" w:hAnsi="Times New Roman" w:cs="Times New Roman"/>
        <w:sz w:val="32"/>
        <w:szCs w:val="32"/>
      </w:rPr>
    </w:pPr>
    <w:r w:rsidRPr="002045CC">
      <w:rPr>
        <w:rFonts w:ascii="Times New Roman" w:hAnsi="Times New Roman" w:cs="Times New Roman"/>
        <w:b/>
        <w:sz w:val="32"/>
        <w:szCs w:val="32"/>
      </w:rPr>
      <w:t>WITH</w:t>
    </w:r>
    <w:r w:rsidR="00E24FF3" w:rsidRPr="002045CC">
      <w:rPr>
        <w:rFonts w:ascii="Times New Roman" w:hAnsi="Times New Roman" w:cs="Times New Roman"/>
        <w:b/>
        <w:sz w:val="32"/>
        <w:szCs w:val="32"/>
      </w:rPr>
      <w:t xml:space="preserve"> </w:t>
    </w:r>
    <w:r w:rsidRPr="002045CC">
      <w:rPr>
        <w:rFonts w:ascii="Times New Roman" w:hAnsi="Times New Roman" w:cs="Times New Roman"/>
        <w:b/>
        <w:sz w:val="32"/>
        <w:szCs w:val="32"/>
      </w:rPr>
      <w:t xml:space="preserve">UP-TO-DATE </w:t>
    </w:r>
    <w:r w:rsidR="00E24FF3" w:rsidRPr="002045CC">
      <w:rPr>
        <w:rFonts w:ascii="Times New Roman" w:hAnsi="Times New Roman" w:cs="Times New Roman"/>
        <w:b/>
        <w:sz w:val="32"/>
        <w:szCs w:val="32"/>
      </w:rPr>
      <w:t>SOYBEAN PRODUCTION INFORMATION</w:t>
    </w:r>
    <w:r w:rsidRPr="002045CC">
      <w:rPr>
        <w:rFonts w:ascii="Times New Roman" w:hAnsi="Times New Roman" w:cs="Times New Roman"/>
        <w:b/>
        <w:sz w:val="32"/>
        <w:szCs w:val="32"/>
      </w:rPr>
      <w:t xml:space="preserve">   </w:t>
    </w:r>
    <w:r>
      <w:rPr>
        <w:rFonts w:ascii="Times New Roman" w:hAnsi="Times New Roman" w:cs="Times New Roman"/>
        <w:sz w:val="32"/>
        <w:szCs w:val="32"/>
      </w:rPr>
      <w:t xml:space="preserve">                        </w:t>
    </w:r>
  </w:p>
  <w:p w14:paraId="0B99C1B4" w14:textId="77777777" w:rsidR="006A48B1" w:rsidRDefault="006A4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WP TypographicSymbols" w:hAnsi="WP TypographicSymbols"/>
      </w:rPr>
    </w:lvl>
    <w:lvl w:ilvl="1">
      <w:start w:val="1"/>
      <w:numFmt w:val="none"/>
      <w:suff w:val="nothing"/>
      <w:lvlText w:val="!"/>
      <w:lvlJc w:val="left"/>
      <w:pPr>
        <w:ind w:left="0" w:firstLine="0"/>
      </w:pPr>
      <w:rPr>
        <w:rFonts w:ascii="WP TypographicSymbols" w:hAnsi="WP TypographicSymbols"/>
      </w:rPr>
    </w:lvl>
    <w:lvl w:ilvl="2">
      <w:start w:val="1"/>
      <w:numFmt w:val="none"/>
      <w:suff w:val="nothing"/>
      <w:lvlText w:val="!"/>
      <w:lvlJc w:val="left"/>
      <w:pPr>
        <w:ind w:left="0" w:firstLine="0"/>
      </w:pPr>
      <w:rPr>
        <w:rFonts w:ascii="WP TypographicSymbols" w:hAnsi="WP TypographicSymbols"/>
      </w:rPr>
    </w:lvl>
    <w:lvl w:ilvl="3">
      <w:start w:val="1"/>
      <w:numFmt w:val="none"/>
      <w:suff w:val="nothing"/>
      <w:lvlText w:val="!"/>
      <w:lvlJc w:val="left"/>
      <w:pPr>
        <w:ind w:left="0" w:firstLine="0"/>
      </w:pPr>
      <w:rPr>
        <w:rFonts w:ascii="WP TypographicSymbols" w:hAnsi="WP TypographicSymbols"/>
      </w:rPr>
    </w:lvl>
    <w:lvl w:ilvl="4">
      <w:start w:val="1"/>
      <w:numFmt w:val="none"/>
      <w:suff w:val="nothing"/>
      <w:lvlText w:val="!"/>
      <w:lvlJc w:val="left"/>
      <w:pPr>
        <w:ind w:left="0" w:firstLine="0"/>
      </w:pPr>
      <w:rPr>
        <w:rFonts w:ascii="WP TypographicSymbols" w:hAnsi="WP TypographicSymbols"/>
      </w:rPr>
    </w:lvl>
    <w:lvl w:ilvl="5">
      <w:start w:val="1"/>
      <w:numFmt w:val="none"/>
      <w:suff w:val="nothing"/>
      <w:lvlText w:val="!"/>
      <w:lvlJc w:val="left"/>
      <w:pPr>
        <w:ind w:left="0" w:firstLine="0"/>
      </w:pPr>
      <w:rPr>
        <w:rFonts w:ascii="WP TypographicSymbols" w:hAnsi="WP TypographicSymbols"/>
      </w:rPr>
    </w:lvl>
    <w:lvl w:ilvl="6">
      <w:start w:val="1"/>
      <w:numFmt w:val="none"/>
      <w:suff w:val="nothing"/>
      <w:lvlText w:val="!"/>
      <w:lvlJc w:val="left"/>
      <w:pPr>
        <w:ind w:left="0" w:firstLine="0"/>
      </w:pPr>
      <w:rPr>
        <w:rFonts w:ascii="WP TypographicSymbols" w:hAnsi="WP TypographicSymbols"/>
      </w:rPr>
    </w:lvl>
    <w:lvl w:ilvl="7">
      <w:start w:val="1"/>
      <w:numFmt w:val="none"/>
      <w:suff w:val="nothing"/>
      <w:lvlText w:val="!"/>
      <w:lvlJc w:val="left"/>
      <w:pPr>
        <w:ind w:left="0" w:firstLine="0"/>
      </w:pPr>
      <w:rPr>
        <w:rFonts w:ascii="WP TypographicSymbols" w:hAnsi="WP TypographicSymbols"/>
      </w:rPr>
    </w:lvl>
    <w:lvl w:ilvl="8">
      <w:start w:val="1"/>
      <w:numFmt w:val="none"/>
      <w:suff w:val="nothing"/>
      <w:lvlText w:val="!"/>
      <w:lvlJc w:val="left"/>
      <w:pPr>
        <w:ind w:left="0" w:firstLine="0"/>
      </w:pPr>
      <w:rPr>
        <w:rFonts w:ascii="WP TypographicSymbols" w:hAnsi="WP TypographicSymbols"/>
      </w:rPr>
    </w:lvl>
  </w:abstractNum>
  <w:abstractNum w:abstractNumId="1" w15:restartNumberingAfterBreak="0">
    <w:nsid w:val="0CDF7191"/>
    <w:multiLevelType w:val="hybridMultilevel"/>
    <w:tmpl w:val="11E86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3557E5"/>
    <w:multiLevelType w:val="hybridMultilevel"/>
    <w:tmpl w:val="89143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5F7C67"/>
    <w:multiLevelType w:val="hybridMultilevel"/>
    <w:tmpl w:val="C0ECA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8441F45"/>
    <w:multiLevelType w:val="hybridMultilevel"/>
    <w:tmpl w:val="FCD2B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25348E1"/>
    <w:multiLevelType w:val="hybridMultilevel"/>
    <w:tmpl w:val="5210B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5"/>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B1"/>
    <w:rsid w:val="000126B3"/>
    <w:rsid w:val="00026736"/>
    <w:rsid w:val="000C4746"/>
    <w:rsid w:val="0016448D"/>
    <w:rsid w:val="001869AD"/>
    <w:rsid w:val="001B4712"/>
    <w:rsid w:val="002045CC"/>
    <w:rsid w:val="002D55C8"/>
    <w:rsid w:val="003E3658"/>
    <w:rsid w:val="00492D18"/>
    <w:rsid w:val="004D79D1"/>
    <w:rsid w:val="00567A56"/>
    <w:rsid w:val="005C6F87"/>
    <w:rsid w:val="00620DBF"/>
    <w:rsid w:val="006544DC"/>
    <w:rsid w:val="006A10C4"/>
    <w:rsid w:val="006A48B1"/>
    <w:rsid w:val="00704F5B"/>
    <w:rsid w:val="007325EB"/>
    <w:rsid w:val="00742629"/>
    <w:rsid w:val="00760F36"/>
    <w:rsid w:val="00793A89"/>
    <w:rsid w:val="007C2E84"/>
    <w:rsid w:val="007F4A7B"/>
    <w:rsid w:val="008A08B3"/>
    <w:rsid w:val="009338D3"/>
    <w:rsid w:val="009356FD"/>
    <w:rsid w:val="00942C69"/>
    <w:rsid w:val="00974500"/>
    <w:rsid w:val="009F1F0F"/>
    <w:rsid w:val="00AC7E1A"/>
    <w:rsid w:val="00B92461"/>
    <w:rsid w:val="00BE5D9C"/>
    <w:rsid w:val="00D13C71"/>
    <w:rsid w:val="00D26184"/>
    <w:rsid w:val="00D95566"/>
    <w:rsid w:val="00DE50A6"/>
    <w:rsid w:val="00E00D56"/>
    <w:rsid w:val="00E24FF3"/>
    <w:rsid w:val="00F0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EAFF"/>
  <w15:chartTrackingRefBased/>
  <w15:docId w15:val="{58201B89-C819-4081-95BC-18A16875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74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8B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A48B1"/>
  </w:style>
  <w:style w:type="paragraph" w:styleId="Footer">
    <w:name w:val="footer"/>
    <w:basedOn w:val="Normal"/>
    <w:link w:val="FooterChar"/>
    <w:uiPriority w:val="99"/>
    <w:unhideWhenUsed/>
    <w:rsid w:val="006A48B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A48B1"/>
  </w:style>
  <w:style w:type="character" w:styleId="Hyperlink">
    <w:name w:val="Hyperlink"/>
    <w:basedOn w:val="DefaultParagraphFont"/>
    <w:uiPriority w:val="99"/>
    <w:unhideWhenUsed/>
    <w:rsid w:val="006A48B1"/>
    <w:rPr>
      <w:color w:val="0563C1" w:themeColor="hyperlink"/>
      <w:u w:val="single"/>
    </w:rPr>
  </w:style>
  <w:style w:type="paragraph" w:styleId="BalloonText">
    <w:name w:val="Balloon Text"/>
    <w:basedOn w:val="Normal"/>
    <w:link w:val="BalloonTextChar"/>
    <w:uiPriority w:val="99"/>
    <w:semiHidden/>
    <w:unhideWhenUsed/>
    <w:rsid w:val="000C47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746"/>
    <w:rPr>
      <w:rFonts w:ascii="Segoe UI" w:eastAsia="Times New Roman" w:hAnsi="Segoe UI" w:cs="Segoe UI"/>
      <w:sz w:val="18"/>
      <w:szCs w:val="18"/>
    </w:rPr>
  </w:style>
  <w:style w:type="paragraph" w:customStyle="1" w:styleId="Level1">
    <w:name w:val="Level 1"/>
    <w:basedOn w:val="Normal"/>
    <w:uiPriority w:val="99"/>
    <w:rsid w:val="006A10C4"/>
    <w:pPr>
      <w:widowControl w:val="0"/>
    </w:pPr>
  </w:style>
  <w:style w:type="paragraph" w:styleId="ListParagraph">
    <w:name w:val="List Paragraph"/>
    <w:basedOn w:val="Normal"/>
    <w:uiPriority w:val="34"/>
    <w:qFormat/>
    <w:rsid w:val="00026736"/>
    <w:pPr>
      <w:spacing w:after="200"/>
      <w:ind w:left="720"/>
      <w:contextualSpacing/>
    </w:pPr>
    <w:rPr>
      <w:rFonts w:ascii="Cambria" w:eastAsia="MS Mincho" w:hAnsi="Cambria"/>
      <w:szCs w:val="24"/>
      <w:lang w:eastAsia="ja-JP"/>
    </w:rPr>
  </w:style>
  <w:style w:type="character" w:customStyle="1" w:styleId="SYSHYPERTEXT">
    <w:name w:val="SYS_HYPERTEXT"/>
    <w:uiPriority w:val="99"/>
    <w:rsid w:val="00026736"/>
    <w:rPr>
      <w:color w:val="0000FF"/>
      <w:u w:val="single"/>
    </w:rPr>
  </w:style>
  <w:style w:type="character" w:styleId="Mention">
    <w:name w:val="Mention"/>
    <w:basedOn w:val="DefaultParagraphFont"/>
    <w:uiPriority w:val="99"/>
    <w:semiHidden/>
    <w:unhideWhenUsed/>
    <w:rsid w:val="00026736"/>
    <w:rPr>
      <w:color w:val="2B579A"/>
      <w:shd w:val="clear" w:color="auto" w:fill="E6E6E6"/>
    </w:rPr>
  </w:style>
  <w:style w:type="paragraph" w:customStyle="1" w:styleId="MSUES">
    <w:name w:val="MSUES"/>
    <w:basedOn w:val="NoSpacing"/>
    <w:qFormat/>
    <w:rsid w:val="00B92461"/>
    <w:rPr>
      <w:rFonts w:asciiTheme="minorHAnsi" w:eastAsiaTheme="minorHAnsi" w:hAnsiTheme="minorHAnsi" w:cstheme="minorBidi"/>
      <w:sz w:val="22"/>
      <w:szCs w:val="22"/>
    </w:rPr>
  </w:style>
  <w:style w:type="table" w:styleId="TableGrid">
    <w:name w:val="Table Grid"/>
    <w:basedOn w:val="TableNormal"/>
    <w:uiPriority w:val="39"/>
    <w:rsid w:val="00B924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461"/>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B9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24104">
      <w:bodyDiv w:val="1"/>
      <w:marLeft w:val="0"/>
      <w:marRight w:val="0"/>
      <w:marTop w:val="0"/>
      <w:marBottom w:val="0"/>
      <w:divBdr>
        <w:top w:val="none" w:sz="0" w:space="0" w:color="auto"/>
        <w:left w:val="none" w:sz="0" w:space="0" w:color="auto"/>
        <w:bottom w:val="none" w:sz="0" w:space="0" w:color="auto"/>
        <w:right w:val="none" w:sz="0" w:space="0" w:color="auto"/>
      </w:divBdr>
    </w:div>
    <w:div w:id="802237017">
      <w:bodyDiv w:val="1"/>
      <w:marLeft w:val="0"/>
      <w:marRight w:val="0"/>
      <w:marTop w:val="0"/>
      <w:marBottom w:val="0"/>
      <w:divBdr>
        <w:top w:val="none" w:sz="0" w:space="0" w:color="auto"/>
        <w:left w:val="none" w:sz="0" w:space="0" w:color="auto"/>
        <w:bottom w:val="none" w:sz="0" w:space="0" w:color="auto"/>
        <w:right w:val="none" w:sz="0" w:space="0" w:color="auto"/>
      </w:divBdr>
    </w:div>
    <w:div w:id="862521586">
      <w:bodyDiv w:val="1"/>
      <w:marLeft w:val="0"/>
      <w:marRight w:val="0"/>
      <w:marTop w:val="0"/>
      <w:marBottom w:val="0"/>
      <w:divBdr>
        <w:top w:val="none" w:sz="0" w:space="0" w:color="auto"/>
        <w:left w:val="none" w:sz="0" w:space="0" w:color="auto"/>
        <w:bottom w:val="none" w:sz="0" w:space="0" w:color="auto"/>
        <w:right w:val="none" w:sz="0" w:space="0" w:color="auto"/>
      </w:divBdr>
    </w:div>
    <w:div w:id="976226551">
      <w:bodyDiv w:val="1"/>
      <w:marLeft w:val="0"/>
      <w:marRight w:val="0"/>
      <w:marTop w:val="0"/>
      <w:marBottom w:val="0"/>
      <w:divBdr>
        <w:top w:val="none" w:sz="0" w:space="0" w:color="auto"/>
        <w:left w:val="none" w:sz="0" w:space="0" w:color="auto"/>
        <w:bottom w:val="none" w:sz="0" w:space="0" w:color="auto"/>
        <w:right w:val="none" w:sz="0" w:space="0" w:color="auto"/>
      </w:divBdr>
    </w:div>
    <w:div w:id="1541092829">
      <w:bodyDiv w:val="1"/>
      <w:marLeft w:val="0"/>
      <w:marRight w:val="0"/>
      <w:marTop w:val="0"/>
      <w:marBottom w:val="0"/>
      <w:divBdr>
        <w:top w:val="none" w:sz="0" w:space="0" w:color="auto"/>
        <w:left w:val="none" w:sz="0" w:space="0" w:color="auto"/>
        <w:bottom w:val="none" w:sz="0" w:space="0" w:color="auto"/>
        <w:right w:val="none" w:sz="0" w:space="0" w:color="auto"/>
      </w:divBdr>
    </w:div>
    <w:div w:id="19502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mailto:bill.burdine@msstate.edu"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SSOY.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SSOY.ORG"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Heatherly</dc:creator>
  <cp:keywords/>
  <dc:description/>
  <cp:lastModifiedBy>Larry Heatherly</cp:lastModifiedBy>
  <cp:revision>2</cp:revision>
  <cp:lastPrinted>2016-11-27T21:45:00Z</cp:lastPrinted>
  <dcterms:created xsi:type="dcterms:W3CDTF">2018-07-09T22:07:00Z</dcterms:created>
  <dcterms:modified xsi:type="dcterms:W3CDTF">2018-07-09T22:07:00Z</dcterms:modified>
</cp:coreProperties>
</file>